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62" w:beforeLines="20" w:line="360" w:lineRule="auto"/>
        <w:ind w:firstLine="560"/>
        <w:jc w:val="left"/>
        <w:rPr>
          <w:rFonts w:hint="eastAsia" w:ascii="宋体" w:hAnsi="宋体"/>
          <w:sz w:val="28"/>
          <w:szCs w:val="28"/>
        </w:rPr>
      </w:pPr>
    </w:p>
    <w:p>
      <w:pPr>
        <w:autoSpaceDE w:val="0"/>
        <w:autoSpaceDN w:val="0"/>
        <w:adjustRightInd w:val="0"/>
        <w:spacing w:before="48" w:after="48" w:line="360" w:lineRule="auto"/>
        <w:ind w:firstLine="964"/>
        <w:jc w:val="center"/>
        <w:rPr>
          <w:rFonts w:hint="eastAsia" w:ascii="宋体" w:hAnsi="宋体" w:cs="Arial"/>
          <w:b/>
          <w:bCs/>
          <w:sz w:val="48"/>
          <w:szCs w:val="48"/>
        </w:rPr>
      </w:pPr>
    </w:p>
    <w:p>
      <w:pPr>
        <w:autoSpaceDE w:val="0"/>
        <w:autoSpaceDN w:val="0"/>
        <w:adjustRightInd w:val="0"/>
        <w:spacing w:before="48" w:after="48" w:line="360" w:lineRule="auto"/>
        <w:ind w:firstLine="964"/>
        <w:jc w:val="center"/>
        <w:rPr>
          <w:rFonts w:ascii="宋体" w:hAnsi="宋体" w:cs="Arial"/>
          <w:b/>
          <w:bCs/>
          <w:sz w:val="48"/>
          <w:szCs w:val="48"/>
        </w:rPr>
      </w:pPr>
      <w:r>
        <w:rPr>
          <w:rFonts w:hint="eastAsia" w:ascii="宋体" w:hAnsi="宋体" w:cs="Arial"/>
          <w:b/>
          <w:bCs/>
          <w:sz w:val="48"/>
          <w:szCs w:val="48"/>
        </w:rPr>
        <w:t>江苏太极实业新材料有限公司</w:t>
      </w:r>
    </w:p>
    <w:p>
      <w:pPr>
        <w:autoSpaceDE w:val="0"/>
        <w:autoSpaceDN w:val="0"/>
        <w:adjustRightInd w:val="0"/>
        <w:spacing w:before="48" w:after="48" w:line="360" w:lineRule="auto"/>
        <w:ind w:firstLine="964"/>
        <w:jc w:val="center"/>
        <w:rPr>
          <w:rFonts w:hint="eastAsia" w:ascii="宋体" w:hAnsi="宋体" w:cs="Arial"/>
          <w:b/>
          <w:bCs/>
          <w:sz w:val="48"/>
          <w:szCs w:val="48"/>
        </w:rPr>
      </w:pPr>
      <w:r>
        <w:rPr>
          <w:rFonts w:hint="eastAsia" w:ascii="宋体" w:hAnsi="宋体" w:cs="Arial"/>
          <w:b/>
          <w:bCs/>
          <w:sz w:val="48"/>
          <w:szCs w:val="48"/>
        </w:rPr>
        <w:t>办公协同系统邀标书</w:t>
      </w:r>
    </w:p>
    <w:p>
      <w:pPr>
        <w:snapToGrid w:val="0"/>
        <w:spacing w:before="62" w:beforeLines="20" w:line="360" w:lineRule="auto"/>
        <w:ind w:firstLine="840" w:firstLineChars="300"/>
        <w:jc w:val="left"/>
        <w:rPr>
          <w:rFonts w:ascii="宋体" w:hAnsi="宋体"/>
          <w:sz w:val="28"/>
          <w:szCs w:val="28"/>
        </w:rPr>
      </w:pPr>
    </w:p>
    <w:p>
      <w:pPr>
        <w:snapToGrid w:val="0"/>
        <w:spacing w:before="62" w:beforeLines="20" w:line="360" w:lineRule="auto"/>
        <w:ind w:firstLine="560"/>
        <w:jc w:val="left"/>
        <w:rPr>
          <w:rFonts w:ascii="宋体" w:hAnsi="宋体"/>
          <w:sz w:val="28"/>
          <w:szCs w:val="28"/>
        </w:rPr>
      </w:pPr>
      <w:r>
        <w:rPr>
          <w:rFonts w:hint="eastAsia" w:ascii="宋体" w:hAnsi="宋体"/>
          <w:sz w:val="28"/>
          <w:szCs w:val="28"/>
        </w:rPr>
        <w:t xml:space="preserve">  </w:t>
      </w:r>
    </w:p>
    <w:p>
      <w:pPr>
        <w:snapToGrid w:val="0"/>
        <w:spacing w:before="62" w:beforeLines="20" w:line="360" w:lineRule="auto"/>
        <w:ind w:firstLine="560"/>
        <w:jc w:val="left"/>
        <w:rPr>
          <w:rFonts w:ascii="宋体" w:hAnsi="宋体"/>
          <w:sz w:val="28"/>
          <w:szCs w:val="28"/>
        </w:rPr>
      </w:pPr>
    </w:p>
    <w:p>
      <w:pPr>
        <w:spacing w:line="360" w:lineRule="auto"/>
        <w:ind w:firstLine="1400" w:firstLineChars="500"/>
        <w:jc w:val="left"/>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r>
        <w:rPr>
          <w:rFonts w:hint="eastAsia"/>
          <w:u w:val="single"/>
        </w:rPr>
        <w:t>办公协同系统项目</w:t>
      </w:r>
      <w:r>
        <w:rPr>
          <w:rFonts w:hint="eastAsia" w:ascii="宋体" w:hAnsi="宋体"/>
          <w:sz w:val="28"/>
          <w:szCs w:val="28"/>
          <w:u w:val="single"/>
        </w:rPr>
        <w:t xml:space="preserve">     </w:t>
      </w:r>
    </w:p>
    <w:p>
      <w:pPr>
        <w:spacing w:line="360" w:lineRule="auto"/>
        <w:ind w:firstLine="1400" w:firstLineChars="500"/>
        <w:jc w:val="left"/>
        <w:rPr>
          <w:rFonts w:ascii="宋体" w:hAnsi="宋体"/>
          <w:sz w:val="28"/>
          <w:szCs w:val="28"/>
          <w:u w:val="single"/>
        </w:rPr>
      </w:pPr>
      <w:r>
        <w:rPr>
          <w:rFonts w:hint="eastAsia" w:ascii="宋体" w:hAnsi="宋体"/>
          <w:sz w:val="28"/>
          <w:szCs w:val="28"/>
        </w:rPr>
        <w:t>招 标 人：</w:t>
      </w:r>
      <w:r>
        <w:rPr>
          <w:rFonts w:hint="eastAsia" w:ascii="宋体" w:hAnsi="宋体"/>
          <w:sz w:val="28"/>
          <w:szCs w:val="28"/>
          <w:u w:val="single"/>
        </w:rPr>
        <w:t xml:space="preserve">江苏太极实业新材料有限公司 </w:t>
      </w:r>
    </w:p>
    <w:p>
      <w:pPr>
        <w:snapToGrid w:val="0"/>
        <w:spacing w:before="62" w:beforeLines="20" w:line="360" w:lineRule="auto"/>
        <w:ind w:firstLine="1400" w:firstLineChars="500"/>
        <w:jc w:val="left"/>
        <w:rPr>
          <w:rFonts w:ascii="宋体" w:hAnsi="宋体"/>
          <w:sz w:val="28"/>
          <w:szCs w:val="28"/>
        </w:rPr>
      </w:pPr>
      <w:r>
        <w:rPr>
          <w:rFonts w:hint="eastAsia" w:ascii="宋体" w:hAnsi="宋体"/>
          <w:sz w:val="28"/>
          <w:szCs w:val="28"/>
        </w:rPr>
        <w:t>编 制 人：</w:t>
      </w:r>
      <w:r>
        <w:rPr>
          <w:rFonts w:hint="eastAsia" w:ascii="宋体" w:hAnsi="宋体"/>
          <w:sz w:val="28"/>
          <w:szCs w:val="28"/>
          <w:u w:val="single"/>
        </w:rPr>
        <w:t xml:space="preserve">      龚   付   生          </w:t>
      </w:r>
    </w:p>
    <w:p>
      <w:pPr>
        <w:snapToGrid w:val="0"/>
        <w:spacing w:before="62" w:beforeLines="20" w:line="360" w:lineRule="auto"/>
        <w:ind w:firstLine="1400" w:firstLineChars="500"/>
        <w:jc w:val="left"/>
        <w:rPr>
          <w:rFonts w:ascii="宋体" w:hAnsi="宋体"/>
          <w:sz w:val="28"/>
          <w:szCs w:val="28"/>
          <w:u w:val="single"/>
        </w:rPr>
      </w:pPr>
      <w:r>
        <w:rPr>
          <w:rFonts w:hint="eastAsia" w:ascii="宋体" w:hAnsi="宋体"/>
          <w:sz w:val="28"/>
          <w:szCs w:val="28"/>
        </w:rPr>
        <w:t>审 核 人：</w:t>
      </w:r>
      <w:r>
        <w:rPr>
          <w:rFonts w:hint="eastAsia" w:ascii="宋体" w:hAnsi="宋体"/>
          <w:sz w:val="28"/>
          <w:szCs w:val="28"/>
          <w:u w:val="single"/>
        </w:rPr>
        <w:t xml:space="preserve">                            </w:t>
      </w:r>
    </w:p>
    <w:p>
      <w:pPr>
        <w:snapToGrid w:val="0"/>
        <w:spacing w:before="62" w:beforeLines="20" w:line="360" w:lineRule="auto"/>
        <w:ind w:firstLine="1400" w:firstLineChars="500"/>
        <w:jc w:val="left"/>
        <w:rPr>
          <w:rFonts w:ascii="宋体" w:hAnsi="宋体"/>
          <w:sz w:val="28"/>
          <w:szCs w:val="28"/>
          <w:u w:val="single"/>
        </w:rPr>
      </w:pPr>
      <w:r>
        <w:rPr>
          <w:rFonts w:hint="eastAsia" w:ascii="宋体" w:hAnsi="宋体"/>
          <w:sz w:val="28"/>
          <w:szCs w:val="28"/>
        </w:rPr>
        <w:t>批 准 人：</w:t>
      </w:r>
      <w:r>
        <w:rPr>
          <w:rFonts w:hint="eastAsia" w:ascii="宋体" w:hAnsi="宋体"/>
          <w:sz w:val="28"/>
          <w:szCs w:val="28"/>
          <w:u w:val="single"/>
        </w:rPr>
        <w:t xml:space="preserve">                            </w:t>
      </w:r>
    </w:p>
    <w:p>
      <w:pPr>
        <w:snapToGrid w:val="0"/>
        <w:spacing w:before="62" w:beforeLines="20" w:line="360" w:lineRule="auto"/>
        <w:ind w:firstLine="560"/>
        <w:jc w:val="left"/>
        <w:rPr>
          <w:rFonts w:ascii="宋体" w:hAnsi="宋体"/>
          <w:sz w:val="28"/>
          <w:szCs w:val="28"/>
        </w:rPr>
      </w:pPr>
    </w:p>
    <w:p>
      <w:pPr>
        <w:snapToGrid w:val="0"/>
        <w:spacing w:before="62" w:beforeLines="20" w:line="360" w:lineRule="auto"/>
        <w:ind w:firstLine="560"/>
        <w:jc w:val="left"/>
        <w:rPr>
          <w:rFonts w:ascii="宋体" w:hAnsi="宋体"/>
          <w:sz w:val="28"/>
          <w:szCs w:val="28"/>
        </w:rPr>
      </w:pPr>
    </w:p>
    <w:p>
      <w:pPr>
        <w:snapToGrid w:val="0"/>
        <w:spacing w:before="62" w:beforeLines="20" w:line="360" w:lineRule="auto"/>
        <w:ind w:firstLine="560"/>
        <w:jc w:val="center"/>
        <w:rPr>
          <w:rFonts w:ascii="宋体" w:hAnsi="宋体"/>
          <w:sz w:val="28"/>
          <w:szCs w:val="28"/>
        </w:rPr>
      </w:pPr>
    </w:p>
    <w:p>
      <w:pPr>
        <w:snapToGrid w:val="0"/>
        <w:spacing w:before="62" w:beforeLines="20" w:line="360" w:lineRule="auto"/>
        <w:ind w:firstLine="560"/>
        <w:jc w:val="center"/>
        <w:rPr>
          <w:rFonts w:ascii="宋体" w:hAnsi="宋体"/>
          <w:sz w:val="28"/>
          <w:szCs w:val="28"/>
        </w:rPr>
      </w:pPr>
    </w:p>
    <w:p>
      <w:pPr>
        <w:snapToGrid w:val="0"/>
        <w:spacing w:before="62" w:beforeLines="20" w:line="360" w:lineRule="auto"/>
        <w:ind w:firstLine="560"/>
        <w:jc w:val="center"/>
        <w:rPr>
          <w:rFonts w:ascii="宋体" w:hAnsi="宋体"/>
          <w:sz w:val="28"/>
          <w:szCs w:val="28"/>
        </w:rPr>
      </w:pPr>
    </w:p>
    <w:p>
      <w:pPr>
        <w:snapToGrid w:val="0"/>
        <w:spacing w:before="62" w:beforeLines="20" w:line="360" w:lineRule="auto"/>
        <w:ind w:firstLine="560"/>
        <w:jc w:val="center"/>
        <w:rPr>
          <w:rFonts w:ascii="宋体" w:hAnsi="宋体"/>
          <w:sz w:val="28"/>
          <w:szCs w:val="28"/>
        </w:rPr>
      </w:pPr>
      <w:r>
        <w:rPr>
          <w:rFonts w:hint="eastAsia" w:ascii="宋体" w:hAnsi="宋体"/>
          <w:sz w:val="28"/>
          <w:szCs w:val="28"/>
        </w:rPr>
        <w:t>二○二○年六月</w:t>
      </w:r>
    </w:p>
    <w:p>
      <w:pPr>
        <w:snapToGrid w:val="0"/>
        <w:spacing w:before="62" w:beforeLines="20" w:line="360" w:lineRule="auto"/>
        <w:ind w:firstLine="560"/>
        <w:jc w:val="center"/>
        <w:rPr>
          <w:rFonts w:ascii="宋体" w:hAnsi="宋体"/>
          <w:sz w:val="28"/>
          <w:szCs w:val="28"/>
        </w:rPr>
      </w:pPr>
    </w:p>
    <w:p>
      <w:pPr>
        <w:snapToGrid w:val="0"/>
        <w:spacing w:before="62" w:beforeLines="20" w:line="360" w:lineRule="auto"/>
        <w:ind w:firstLine="560"/>
        <w:jc w:val="center"/>
        <w:rPr>
          <w:rFonts w:ascii="宋体" w:hAnsi="宋体"/>
          <w:sz w:val="28"/>
          <w:szCs w:val="28"/>
        </w:rPr>
      </w:pPr>
    </w:p>
    <w:p>
      <w:pPr>
        <w:snapToGrid w:val="0"/>
        <w:spacing w:before="62" w:beforeLines="20" w:line="360" w:lineRule="auto"/>
        <w:ind w:firstLine="560"/>
        <w:jc w:val="center"/>
        <w:rPr>
          <w:rFonts w:ascii="宋体" w:hAnsi="宋体"/>
          <w:sz w:val="28"/>
          <w:szCs w:val="28"/>
        </w:rPr>
      </w:pPr>
    </w:p>
    <w:p>
      <w:pPr>
        <w:snapToGrid w:val="0"/>
        <w:spacing w:before="62" w:beforeLines="20" w:line="360" w:lineRule="auto"/>
        <w:ind w:firstLine="560"/>
        <w:jc w:val="center"/>
        <w:rPr>
          <w:rFonts w:ascii="宋体" w:hAnsi="宋体"/>
          <w:sz w:val="28"/>
          <w:szCs w:val="28"/>
        </w:rPr>
      </w:pPr>
    </w:p>
    <w:p>
      <w:pPr>
        <w:spacing w:after="120" w:line="360" w:lineRule="auto"/>
        <w:ind w:firstLine="720"/>
        <w:jc w:val="center"/>
      </w:pPr>
      <w:bookmarkStart w:id="0" w:name="_Toc523210731"/>
      <w:bookmarkStart w:id="1" w:name="_Toc523214594"/>
      <w:bookmarkStart w:id="2" w:name="_Toc125855733"/>
      <w:r>
        <w:rPr>
          <w:rFonts w:hint="eastAsia"/>
          <w:color w:val="000000"/>
          <w:sz w:val="36"/>
        </w:rPr>
        <w:t>第一部分  投标人须知</w:t>
      </w:r>
      <w:bookmarkEnd w:id="0"/>
      <w:bookmarkEnd w:id="1"/>
      <w:bookmarkEnd w:id="2"/>
    </w:p>
    <w:p>
      <w:pPr>
        <w:pStyle w:val="5"/>
        <w:spacing w:line="360" w:lineRule="auto"/>
        <w:ind w:firstLine="482"/>
        <w:jc w:val="center"/>
        <w:rPr>
          <w:rFonts w:hint="eastAsia"/>
          <w:b/>
        </w:rPr>
      </w:pPr>
      <w:bookmarkStart w:id="3" w:name="_Toc523214595"/>
      <w:bookmarkStart w:id="4" w:name="_Toc523210732"/>
      <w:r>
        <w:rPr>
          <w:rFonts w:hint="eastAsia"/>
          <w:b/>
        </w:rPr>
        <w:t>A  说  明</w:t>
      </w:r>
      <w:bookmarkEnd w:id="3"/>
      <w:bookmarkEnd w:id="4"/>
    </w:p>
    <w:p>
      <w:pPr>
        <w:pStyle w:val="5"/>
        <w:numPr>
          <w:ilvl w:val="0"/>
          <w:numId w:val="2"/>
        </w:numPr>
        <w:spacing w:line="360" w:lineRule="auto"/>
        <w:ind w:left="198" w:firstLine="0" w:firstLineChars="0"/>
        <w:rPr>
          <w:rFonts w:hint="eastAsia"/>
          <w:b/>
        </w:rPr>
      </w:pPr>
      <w:bookmarkStart w:id="5" w:name="_Toc125855734"/>
      <w:bookmarkStart w:id="6" w:name="_Toc523214596"/>
      <w:bookmarkStart w:id="7" w:name="_Toc125217108"/>
      <w:bookmarkStart w:id="8" w:name="_Toc523210733"/>
      <w:r>
        <w:rPr>
          <w:rFonts w:hint="eastAsia"/>
          <w:b/>
        </w:rPr>
        <w:t>适用范围</w:t>
      </w:r>
      <w:bookmarkEnd w:id="5"/>
      <w:bookmarkEnd w:id="6"/>
      <w:bookmarkEnd w:id="7"/>
      <w:bookmarkEnd w:id="8"/>
      <w:bookmarkStart w:id="9" w:name="_Toc237970736"/>
    </w:p>
    <w:p>
      <w:pPr>
        <w:pStyle w:val="5"/>
        <w:spacing w:line="360" w:lineRule="auto"/>
        <w:ind w:left="197" w:leftChars="82" w:firstLine="480"/>
        <w:rPr>
          <w:rFonts w:hint="eastAsia" w:ascii="宋体" w:hAnsi="宋体" w:cs="楷体_GB2312"/>
        </w:rPr>
      </w:pPr>
      <w:r>
        <w:rPr>
          <w:rFonts w:hint="eastAsia"/>
        </w:rPr>
        <w:t>办公协同系统项目邀标书包括应用软件平台许可、实施及售后服务，本邀标文件仅适用于</w:t>
      </w:r>
      <w:r>
        <w:rPr>
          <w:rFonts w:hint="eastAsia" w:ascii="宋体" w:hAnsi="宋体" w:cs="Arial"/>
        </w:rPr>
        <w:t>江苏太极实业新材料有限公司</w:t>
      </w:r>
      <w:r>
        <w:rPr>
          <w:rFonts w:hint="eastAsia"/>
        </w:rPr>
        <w:t>（以下简称“江苏太极”）。</w:t>
      </w:r>
      <w:r>
        <w:rPr>
          <w:rFonts w:hint="eastAsia" w:ascii="宋体" w:hAnsi="宋体" w:cs="楷体_GB2312"/>
        </w:rPr>
        <w:t>邀标方（即“江苏太极”，下同）只承认作为独立系统</w:t>
      </w:r>
      <w:r>
        <w:rPr>
          <w:rFonts w:hint="eastAsia"/>
        </w:rPr>
        <w:t>软件厂商或</w:t>
      </w:r>
      <w:r>
        <w:rPr>
          <w:rFonts w:hint="eastAsia"/>
          <w:lang w:eastAsia="zh-CN"/>
        </w:rPr>
        <w:t>其</w:t>
      </w:r>
      <w:r>
        <w:rPr>
          <w:rFonts w:hint="eastAsia"/>
        </w:rPr>
        <w:t>代理商</w:t>
      </w:r>
      <w:r>
        <w:rPr>
          <w:rFonts w:hint="eastAsia" w:ascii="宋体" w:hAnsi="宋体" w:cs="楷体_GB2312"/>
        </w:rPr>
        <w:t>的投标方，不接受任何形式的联合投标行为。</w:t>
      </w:r>
      <w:bookmarkEnd w:id="9"/>
      <w:bookmarkStart w:id="10" w:name="_Toc523210734"/>
      <w:bookmarkStart w:id="11" w:name="_Toc523214597"/>
      <w:bookmarkStart w:id="12" w:name="_Toc125855735"/>
      <w:bookmarkStart w:id="13" w:name="_Toc125217109"/>
    </w:p>
    <w:p>
      <w:pPr>
        <w:pStyle w:val="5"/>
        <w:numPr>
          <w:ilvl w:val="0"/>
          <w:numId w:val="2"/>
        </w:numPr>
        <w:spacing w:line="360" w:lineRule="auto"/>
        <w:ind w:firstLineChars="0"/>
        <w:rPr>
          <w:rFonts w:hint="eastAsia"/>
          <w:b/>
        </w:rPr>
      </w:pPr>
      <w:r>
        <w:rPr>
          <w:rFonts w:hint="eastAsia"/>
          <w:b/>
        </w:rPr>
        <w:t>邀标方式</w:t>
      </w:r>
      <w:bookmarkEnd w:id="10"/>
      <w:bookmarkEnd w:id="11"/>
      <w:bookmarkEnd w:id="12"/>
      <w:bookmarkEnd w:id="13"/>
      <w:bookmarkStart w:id="14" w:name="_Toc237970738"/>
    </w:p>
    <w:p>
      <w:pPr>
        <w:pStyle w:val="5"/>
        <w:spacing w:line="360" w:lineRule="auto"/>
        <w:ind w:left="197" w:leftChars="82" w:firstLine="480"/>
        <w:jc w:val="left"/>
        <w:rPr>
          <w:rFonts w:hint="eastAsia"/>
        </w:rPr>
      </w:pPr>
      <w:r>
        <w:rPr>
          <w:rFonts w:hint="eastAsia"/>
        </w:rPr>
        <w:t>投标方根据本邀标文件的要求编写投标文件，邀标方对投标文件进行</w:t>
      </w:r>
      <w:r>
        <w:rPr>
          <w:rFonts w:hint="eastAsia" w:ascii="宋体" w:hAnsi="宋体"/>
        </w:rPr>
        <w:t>综合评标法</w:t>
      </w:r>
      <w:r>
        <w:rPr>
          <w:rFonts w:hint="eastAsia"/>
        </w:rPr>
        <w:t>选出投标文件符合要求的系统软件厂商。</w:t>
      </w:r>
      <w:bookmarkEnd w:id="14"/>
      <w:bookmarkStart w:id="15" w:name="_Toc237970739"/>
      <w:r>
        <w:rPr>
          <w:rFonts w:hint="eastAsia"/>
        </w:rPr>
        <w:t>邀标方将就办公协同系统项目与中标方进行商务谈判，就价格、系统范围、售后服务等细节进一步沟通。邀标方保留在签署合同前宣告选择结果、拒绝接受任何建议书的权利，而不必对受影响的投标人承担任何责任，也无责任将采取行动的根据告知各受影响的其他系统软件厂商。</w:t>
      </w:r>
      <w:bookmarkEnd w:id="15"/>
      <w:bookmarkStart w:id="16" w:name="_Toc125217110"/>
      <w:bookmarkStart w:id="17" w:name="_Toc523210735"/>
      <w:bookmarkStart w:id="18" w:name="_Toc523214598"/>
      <w:bookmarkStart w:id="19" w:name="_Toc125855736"/>
    </w:p>
    <w:p>
      <w:pPr>
        <w:pStyle w:val="5"/>
        <w:spacing w:line="360" w:lineRule="auto"/>
        <w:ind w:firstLine="198" w:firstLineChars="82"/>
        <w:jc w:val="left"/>
      </w:pPr>
      <w:r>
        <w:rPr>
          <w:rFonts w:hint="eastAsia"/>
          <w:b/>
        </w:rPr>
        <w:t>三、定义</w:t>
      </w:r>
      <w:bookmarkEnd w:id="16"/>
      <w:bookmarkEnd w:id="17"/>
      <w:bookmarkEnd w:id="18"/>
      <w:bookmarkEnd w:id="19"/>
    </w:p>
    <w:p>
      <w:pPr>
        <w:numPr>
          <w:ilvl w:val="0"/>
          <w:numId w:val="3"/>
        </w:numPr>
        <w:spacing w:line="360" w:lineRule="auto"/>
        <w:ind w:firstLineChars="0"/>
      </w:pPr>
      <w:bookmarkStart w:id="20" w:name="_Toc237970741"/>
      <w:r>
        <w:rPr>
          <w:rFonts w:hint="eastAsia"/>
        </w:rPr>
        <w:t>“邀标人”系指</w:t>
      </w:r>
      <w:r>
        <w:rPr>
          <w:rFonts w:hint="eastAsia" w:ascii="宋体" w:hAnsi="宋体" w:cs="Arial"/>
          <w:color w:val="000000"/>
        </w:rPr>
        <w:t>江苏太极实业新材料有限公司</w:t>
      </w:r>
      <w:r>
        <w:rPr>
          <w:rFonts w:hint="eastAsia"/>
        </w:rPr>
        <w:t>。</w:t>
      </w:r>
      <w:bookmarkEnd w:id="20"/>
    </w:p>
    <w:p>
      <w:pPr>
        <w:numPr>
          <w:ilvl w:val="0"/>
          <w:numId w:val="3"/>
        </w:numPr>
        <w:spacing w:line="360" w:lineRule="auto"/>
        <w:ind w:firstLineChars="0"/>
      </w:pPr>
      <w:bookmarkStart w:id="21" w:name="_Toc237970742"/>
      <w:r>
        <w:rPr>
          <w:rFonts w:hint="eastAsia"/>
        </w:rPr>
        <w:t>“投标人”系指受到投标邀请并向邀标人提供投标文件的系统软件厂商或其代理商。</w:t>
      </w:r>
      <w:bookmarkEnd w:id="21"/>
    </w:p>
    <w:p>
      <w:pPr>
        <w:numPr>
          <w:ilvl w:val="0"/>
          <w:numId w:val="3"/>
        </w:numPr>
        <w:spacing w:line="360" w:lineRule="auto"/>
        <w:ind w:firstLineChars="0"/>
        <w:rPr>
          <w:b/>
          <w:bCs/>
        </w:rPr>
      </w:pPr>
      <w:bookmarkStart w:id="22" w:name="_Toc237970743"/>
      <w:r>
        <w:rPr>
          <w:rFonts w:hint="eastAsia"/>
        </w:rPr>
        <w:t>“产品”系指投标人按邀标文件规定，须向邀标人提供的一切应用程序、需求分析说明书、设计文件、技术手册、操作手册、实施培训资料、发布说明文挡及其它有关技术资料和材料。</w:t>
      </w:r>
      <w:bookmarkEnd w:id="22"/>
    </w:p>
    <w:p>
      <w:pPr>
        <w:numPr>
          <w:ilvl w:val="0"/>
          <w:numId w:val="3"/>
        </w:numPr>
        <w:spacing w:line="360" w:lineRule="auto"/>
        <w:ind w:firstLineChars="0"/>
        <w:rPr>
          <w:b/>
          <w:bCs/>
        </w:rPr>
      </w:pPr>
      <w:bookmarkStart w:id="23" w:name="_Toc237970744"/>
      <w:r>
        <w:rPr>
          <w:rFonts w:hint="eastAsia"/>
        </w:rPr>
        <w:t>“服务”系指邀标文件规定投标人须免费（或收费）承担的安装、指导、调试、开通、技术协助、培训以及其他类似的义务。服务又具体包括如下几种：</w:t>
      </w:r>
      <w:bookmarkEnd w:id="23"/>
    </w:p>
    <w:p>
      <w:pPr>
        <w:numPr>
          <w:ilvl w:val="0"/>
          <w:numId w:val="4"/>
        </w:numPr>
        <w:spacing w:line="360" w:lineRule="auto"/>
        <w:ind w:firstLineChars="0"/>
        <w:rPr>
          <w:b/>
          <w:bCs/>
        </w:rPr>
      </w:pPr>
      <w:bookmarkStart w:id="24" w:name="_Toc237970745"/>
      <w:r>
        <w:rPr>
          <w:rFonts w:hint="eastAsia"/>
        </w:rPr>
        <w:t>“电话支持服务”系指投标人将为邀标人提供响应电话。当邀标人遇到产品故障后</w:t>
      </w:r>
      <w:r>
        <w:t>,</w:t>
      </w:r>
      <w:r>
        <w:rPr>
          <w:rFonts w:hint="eastAsia"/>
        </w:rPr>
        <w:t xml:space="preserve"> 可直接拨打投标人提供的响应电话，并提供合同号、邀标人产品所在地、故障现象及产品序列号等信息以要求投标人提供免费服务。响应人员在接到邀标人电话后会指派技术人员向邀标人提供电话诊断及现场服务。技术人员首先将通过电话诊断故障及解决问题，如果邀标产品故障无法通过电话解决，投标方工程师将到邀标人产品现场提供现场支持服务。</w:t>
      </w:r>
      <w:bookmarkEnd w:id="24"/>
    </w:p>
    <w:p>
      <w:pPr>
        <w:numPr>
          <w:ilvl w:val="0"/>
          <w:numId w:val="4"/>
        </w:numPr>
        <w:spacing w:line="360" w:lineRule="auto"/>
        <w:ind w:firstLineChars="0"/>
      </w:pPr>
      <w:bookmarkStart w:id="25" w:name="_Toc237970746"/>
      <w:r>
        <w:rPr>
          <w:rFonts w:hint="eastAsia"/>
        </w:rPr>
        <w:t>“现场支持服务”系指投标人根据邀标人的需求为邀标方提供现场解决支持，邀标人的邀标产品在提供问题电话解决外，还需投标人提供2小时内派技术人员到达邀标产品现场进行系统维护，对于现场不能解决的故障，投标人应采用其它方法保证在邀标产品故障申报起8小时内对邀标产品故障进行修复。</w:t>
      </w:r>
      <w:bookmarkEnd w:id="25"/>
    </w:p>
    <w:p>
      <w:pPr>
        <w:numPr>
          <w:ilvl w:val="0"/>
          <w:numId w:val="4"/>
        </w:numPr>
        <w:spacing w:line="360" w:lineRule="auto"/>
        <w:ind w:firstLineChars="0"/>
      </w:pPr>
      <w:bookmarkStart w:id="26" w:name="_Toc237970747"/>
      <w:r>
        <w:rPr>
          <w:rFonts w:hint="eastAsia"/>
        </w:rPr>
        <w:t>“主动预防性服务”系指投标人之特定服务技术人员将定期电话联络邀标人项目负责人，了解邀标产品使用状况，进行问题咨询，并对邀标人提供邀标产品的免费升级服务。投标人将与邀标人在定期维护服务时间上达成一致，制定合理的预防性维护服务计划。技术人员维护服务应在不影响邀标人使用产品的时间进行。任何升级或调整必须事先与邀标人协商。</w:t>
      </w:r>
      <w:bookmarkEnd w:id="26"/>
    </w:p>
    <w:p>
      <w:pPr>
        <w:numPr>
          <w:ilvl w:val="0"/>
          <w:numId w:val="3"/>
        </w:numPr>
        <w:spacing w:line="360" w:lineRule="auto"/>
        <w:ind w:firstLineChars="0"/>
        <w:jc w:val="left"/>
        <w:rPr>
          <w:rFonts w:hint="eastAsia"/>
        </w:rPr>
      </w:pPr>
      <w:r>
        <w:rPr>
          <w:rFonts w:hint="eastAsia"/>
        </w:rPr>
        <w:t>江苏太极使用的ERP系统为用友U8 13.0 使用数据库为sqlserver2008 r2。与erp系统集成流程定义为：在办公协同系统操作，达到在ERP系统中操作的同样功能。</w:t>
      </w:r>
      <w:bookmarkStart w:id="27" w:name="_Toc125217111"/>
      <w:bookmarkStart w:id="28" w:name="_Toc523214599"/>
      <w:bookmarkStart w:id="29" w:name="_Toc125855737"/>
      <w:bookmarkStart w:id="30" w:name="_Toc523210736"/>
    </w:p>
    <w:p>
      <w:pPr>
        <w:spacing w:line="360" w:lineRule="auto"/>
        <w:ind w:firstLine="0" w:firstLineChars="0"/>
        <w:jc w:val="left"/>
      </w:pPr>
      <w:r>
        <w:rPr>
          <w:rFonts w:hint="eastAsia"/>
          <w:b/>
          <w:color w:val="000000"/>
        </w:rPr>
        <w:t>四、合格的投标人</w:t>
      </w:r>
      <w:bookmarkEnd w:id="27"/>
      <w:bookmarkEnd w:id="28"/>
      <w:bookmarkEnd w:id="29"/>
      <w:bookmarkEnd w:id="30"/>
    </w:p>
    <w:p>
      <w:pPr>
        <w:numPr>
          <w:ilvl w:val="0"/>
          <w:numId w:val="5"/>
        </w:numPr>
        <w:spacing w:line="360" w:lineRule="auto"/>
        <w:ind w:firstLineChars="0"/>
      </w:pPr>
      <w:bookmarkStart w:id="31" w:name="_Toc237970749"/>
      <w:r>
        <w:rPr>
          <w:rFonts w:hint="eastAsia"/>
        </w:rPr>
        <w:t>具有至少2家实施成功案例(提供合同复印件或发票复印件并加盖公章)。</w:t>
      </w:r>
      <w:bookmarkEnd w:id="31"/>
    </w:p>
    <w:p>
      <w:pPr>
        <w:numPr>
          <w:ilvl w:val="0"/>
          <w:numId w:val="5"/>
        </w:numPr>
        <w:spacing w:line="360" w:lineRule="auto"/>
        <w:ind w:firstLineChars="0"/>
      </w:pPr>
      <w:bookmarkStart w:id="32" w:name="_Toc237970751"/>
      <w:r>
        <w:rPr>
          <w:rFonts w:hint="eastAsia"/>
        </w:rPr>
        <w:t>公司技术人员队伍实力雄厚、相对稳定、经营业绩良好。</w:t>
      </w:r>
      <w:bookmarkEnd w:id="32"/>
    </w:p>
    <w:p>
      <w:pPr>
        <w:numPr>
          <w:ilvl w:val="0"/>
          <w:numId w:val="5"/>
        </w:numPr>
        <w:snapToGrid w:val="0"/>
        <w:spacing w:line="360" w:lineRule="auto"/>
        <w:ind w:firstLineChars="0"/>
        <w:contextualSpacing/>
        <w:rPr>
          <w:rFonts w:ascii="宋体" w:hAnsi="宋体"/>
        </w:rPr>
      </w:pPr>
      <w:r>
        <w:rPr>
          <w:rFonts w:hint="eastAsia" w:ascii="宋体" w:hAnsi="宋体"/>
        </w:rPr>
        <w:t>具有独立法人资格。</w:t>
      </w:r>
      <w:bookmarkStart w:id="33" w:name="_Toc125217112"/>
      <w:bookmarkStart w:id="34" w:name="_Toc523210737"/>
      <w:bookmarkStart w:id="35" w:name="_Toc523214600"/>
      <w:bookmarkStart w:id="36" w:name="_Toc125855738"/>
    </w:p>
    <w:p>
      <w:pPr>
        <w:snapToGrid w:val="0"/>
        <w:spacing w:line="360" w:lineRule="auto"/>
        <w:ind w:firstLine="0" w:firstLineChars="0"/>
        <w:contextualSpacing/>
        <w:rPr>
          <w:b/>
          <w:color w:val="000000"/>
        </w:rPr>
      </w:pPr>
      <w:r>
        <w:rPr>
          <w:rFonts w:hint="eastAsia"/>
          <w:b/>
          <w:color w:val="000000"/>
        </w:rPr>
        <w:t>五、投标费用</w:t>
      </w:r>
      <w:bookmarkEnd w:id="33"/>
      <w:bookmarkEnd w:id="34"/>
      <w:bookmarkEnd w:id="35"/>
      <w:bookmarkEnd w:id="36"/>
    </w:p>
    <w:p>
      <w:pPr>
        <w:spacing w:line="360" w:lineRule="auto"/>
        <w:ind w:firstLine="480"/>
      </w:pPr>
      <w:bookmarkStart w:id="37" w:name="_Toc237970754"/>
      <w:r>
        <w:rPr>
          <w:rFonts w:hint="eastAsia"/>
        </w:rPr>
        <w:t>无论投标过程中的做法和结果如何，投标人自行承担所有与参加投标有关的全部费用。</w:t>
      </w:r>
      <w:bookmarkEnd w:id="37"/>
    </w:p>
    <w:p>
      <w:pPr>
        <w:pStyle w:val="5"/>
        <w:spacing w:line="360" w:lineRule="auto"/>
        <w:ind w:firstLine="482"/>
        <w:jc w:val="center"/>
        <w:rPr>
          <w:rFonts w:hint="eastAsia"/>
          <w:b/>
        </w:rPr>
      </w:pPr>
      <w:bookmarkStart w:id="38" w:name="_Toc523210738"/>
      <w:bookmarkStart w:id="39" w:name="_Toc523214601"/>
    </w:p>
    <w:p>
      <w:pPr>
        <w:pStyle w:val="5"/>
        <w:spacing w:line="360" w:lineRule="auto"/>
        <w:ind w:firstLine="482"/>
        <w:jc w:val="center"/>
        <w:rPr>
          <w:rFonts w:hint="eastAsia"/>
          <w:b/>
        </w:rPr>
      </w:pPr>
    </w:p>
    <w:p>
      <w:pPr>
        <w:pStyle w:val="5"/>
        <w:spacing w:line="360" w:lineRule="auto"/>
        <w:ind w:firstLine="482"/>
        <w:jc w:val="center"/>
        <w:rPr>
          <w:rFonts w:hint="eastAsia"/>
          <w:b/>
        </w:rPr>
      </w:pPr>
    </w:p>
    <w:p>
      <w:pPr>
        <w:pStyle w:val="5"/>
        <w:spacing w:line="360" w:lineRule="auto"/>
        <w:ind w:firstLine="482"/>
        <w:jc w:val="center"/>
        <w:rPr>
          <w:rFonts w:hint="eastAsia"/>
          <w:b/>
        </w:rPr>
      </w:pPr>
    </w:p>
    <w:p>
      <w:pPr>
        <w:pStyle w:val="5"/>
        <w:spacing w:line="360" w:lineRule="auto"/>
        <w:ind w:firstLine="482"/>
        <w:jc w:val="center"/>
        <w:rPr>
          <w:rFonts w:hint="eastAsia" w:asciiTheme="minorEastAsia" w:hAnsiTheme="minorEastAsia" w:eastAsiaTheme="minorEastAsia"/>
          <w:b/>
        </w:rPr>
      </w:pPr>
      <w:r>
        <w:rPr>
          <w:rFonts w:hint="eastAsia" w:asciiTheme="minorEastAsia" w:hAnsiTheme="minorEastAsia" w:eastAsiaTheme="minorEastAsia"/>
          <w:b/>
        </w:rPr>
        <w:t>B  邀标文件说明</w:t>
      </w:r>
      <w:bookmarkEnd w:id="38"/>
      <w:bookmarkEnd w:id="39"/>
      <w:bookmarkStart w:id="40" w:name="_Toc523214602"/>
      <w:bookmarkStart w:id="41" w:name="_Toc125217114"/>
      <w:bookmarkStart w:id="42" w:name="_Toc125855740"/>
      <w:bookmarkStart w:id="43" w:name="_Toc523210739"/>
    </w:p>
    <w:p>
      <w:pPr>
        <w:pStyle w:val="5"/>
        <w:spacing w:line="360" w:lineRule="auto"/>
        <w:ind w:firstLine="198" w:firstLineChars="82"/>
        <w:jc w:val="left"/>
        <w:rPr>
          <w:rFonts w:hint="eastAsia" w:asciiTheme="minorEastAsia" w:hAnsiTheme="minorEastAsia" w:eastAsiaTheme="minorEastAsia"/>
          <w:b/>
        </w:rPr>
      </w:pPr>
      <w:r>
        <w:rPr>
          <w:rFonts w:hint="eastAsia" w:asciiTheme="minorEastAsia" w:hAnsiTheme="minorEastAsia" w:eastAsiaTheme="minorEastAsia"/>
          <w:b/>
        </w:rPr>
        <w:t>六、邀标文件的构成</w:t>
      </w:r>
      <w:bookmarkEnd w:id="40"/>
      <w:bookmarkEnd w:id="41"/>
      <w:bookmarkEnd w:id="42"/>
      <w:bookmarkEnd w:id="43"/>
      <w:bookmarkStart w:id="44" w:name="_Toc237970757"/>
    </w:p>
    <w:p>
      <w:pPr>
        <w:pStyle w:val="5"/>
        <w:spacing w:line="360" w:lineRule="auto"/>
        <w:ind w:firstLine="198" w:firstLineChars="82"/>
        <w:jc w:val="left"/>
        <w:rPr>
          <w:rFonts w:asciiTheme="minorEastAsia" w:hAnsiTheme="minorEastAsia" w:eastAsiaTheme="minorEastAsia"/>
        </w:rPr>
      </w:pPr>
      <w:r>
        <w:rPr>
          <w:rFonts w:hint="eastAsia" w:asciiTheme="minorEastAsia" w:hAnsiTheme="minorEastAsia" w:eastAsiaTheme="minorEastAsia"/>
          <w:b/>
        </w:rPr>
        <w:t>1、</w:t>
      </w:r>
      <w:r>
        <w:rPr>
          <w:rFonts w:hint="eastAsia" w:asciiTheme="minorEastAsia" w:hAnsiTheme="minorEastAsia" w:eastAsiaTheme="minorEastAsia"/>
        </w:rPr>
        <w:t>邀标文件用以阐明所需产品及服务、邀标投标程序和合同条款。邀标文件由下述三部分组成：</w:t>
      </w:r>
      <w:bookmarkEnd w:id="44"/>
    </w:p>
    <w:p>
      <w:pPr>
        <w:pStyle w:val="11"/>
        <w:numPr>
          <w:ilvl w:val="0"/>
          <w:numId w:val="6"/>
        </w:numPr>
        <w:spacing w:after="120" w:line="360" w:lineRule="auto"/>
        <w:ind w:left="1080" w:firstLine="480"/>
        <w:jc w:val="left"/>
        <w:rPr>
          <w:rFonts w:asciiTheme="minorEastAsia" w:hAnsiTheme="minorEastAsia" w:eastAsiaTheme="minorEastAsia"/>
          <w:szCs w:val="24"/>
          <w:u w:val="none"/>
        </w:rPr>
      </w:pPr>
      <w:r>
        <w:rPr>
          <w:rFonts w:hint="eastAsia" w:asciiTheme="minorEastAsia" w:hAnsiTheme="minorEastAsia" w:eastAsiaTheme="minorEastAsia"/>
          <w:szCs w:val="24"/>
          <w:u w:val="none"/>
        </w:rPr>
        <w:t>投标人须知</w:t>
      </w:r>
    </w:p>
    <w:p>
      <w:pPr>
        <w:pStyle w:val="11"/>
        <w:numPr>
          <w:ilvl w:val="0"/>
          <w:numId w:val="6"/>
        </w:numPr>
        <w:spacing w:after="120" w:line="360" w:lineRule="auto"/>
        <w:ind w:left="1080" w:firstLine="480"/>
        <w:jc w:val="left"/>
        <w:rPr>
          <w:rFonts w:asciiTheme="minorEastAsia" w:hAnsiTheme="minorEastAsia" w:eastAsiaTheme="minorEastAsia"/>
          <w:szCs w:val="24"/>
          <w:u w:val="none"/>
        </w:rPr>
      </w:pPr>
      <w:r>
        <w:rPr>
          <w:rFonts w:hint="eastAsia" w:asciiTheme="minorEastAsia" w:hAnsiTheme="minorEastAsia" w:eastAsiaTheme="minorEastAsia"/>
          <w:szCs w:val="24"/>
          <w:u w:val="none"/>
        </w:rPr>
        <w:t>办公协同系统</w:t>
      </w:r>
      <w:r>
        <w:rPr>
          <w:rFonts w:hint="eastAsia" w:cs="楷体_GB2312" w:asciiTheme="minorEastAsia" w:hAnsiTheme="minorEastAsia" w:eastAsiaTheme="minorEastAsia"/>
          <w:szCs w:val="24"/>
          <w:u w:val="none"/>
        </w:rPr>
        <w:t>项目基本需求</w:t>
      </w:r>
    </w:p>
    <w:p>
      <w:pPr>
        <w:pStyle w:val="11"/>
        <w:numPr>
          <w:ilvl w:val="0"/>
          <w:numId w:val="6"/>
        </w:numPr>
        <w:spacing w:after="120" w:line="360" w:lineRule="auto"/>
        <w:ind w:left="1080" w:firstLine="480"/>
        <w:jc w:val="left"/>
        <w:rPr>
          <w:rFonts w:asciiTheme="minorEastAsia" w:hAnsiTheme="minorEastAsia" w:eastAsiaTheme="minorEastAsia"/>
          <w:szCs w:val="24"/>
          <w:u w:val="none"/>
        </w:rPr>
      </w:pPr>
      <w:r>
        <w:rPr>
          <w:rFonts w:hint="eastAsia" w:asciiTheme="minorEastAsia" w:hAnsiTheme="minorEastAsia" w:eastAsiaTheme="minorEastAsia"/>
          <w:szCs w:val="24"/>
          <w:u w:val="none"/>
        </w:rPr>
        <w:t>投标文件格式</w:t>
      </w:r>
    </w:p>
    <w:p>
      <w:pPr>
        <w:pStyle w:val="20"/>
        <w:numPr>
          <w:ilvl w:val="0"/>
          <w:numId w:val="7"/>
        </w:numPr>
        <w:spacing w:after="120" w:line="360" w:lineRule="auto"/>
        <w:ind w:firstLineChars="0"/>
        <w:jc w:val="left"/>
        <w:rPr>
          <w:rFonts w:hint="eastAsia" w:asciiTheme="minorEastAsia" w:hAnsiTheme="minorEastAsia" w:eastAsiaTheme="minorEastAsia"/>
          <w:color w:val="000000"/>
        </w:rPr>
      </w:pPr>
      <w:bookmarkStart w:id="45" w:name="_Toc237970758"/>
      <w:r>
        <w:rPr>
          <w:rFonts w:hint="eastAsia" w:asciiTheme="minorEastAsia" w:hAnsiTheme="minorEastAsia" w:eastAsiaTheme="minorEastAsia"/>
        </w:rPr>
        <w:t>除非有特殊要求，邀标文件不单独提供邀标产品使用地的自然环境、气候条件、公用设施等情况，投标人被视为熟悉上述与履行合同有关的一切情况。</w:t>
      </w:r>
      <w:bookmarkEnd w:id="45"/>
      <w:bookmarkStart w:id="46" w:name="_Toc523210740"/>
      <w:bookmarkStart w:id="47" w:name="_Toc125855741"/>
      <w:bookmarkStart w:id="48" w:name="_Toc125217115"/>
      <w:bookmarkStart w:id="49" w:name="_Toc523214603"/>
    </w:p>
    <w:p>
      <w:pPr>
        <w:spacing w:after="120" w:line="360" w:lineRule="auto"/>
        <w:ind w:firstLine="0" w:firstLineChars="0"/>
        <w:jc w:val="left"/>
        <w:rPr>
          <w:rFonts w:asciiTheme="minorEastAsia" w:hAnsiTheme="minorEastAsia" w:eastAsiaTheme="minorEastAsia"/>
          <w:color w:val="000000"/>
        </w:rPr>
      </w:pPr>
      <w:r>
        <w:rPr>
          <w:rFonts w:hint="eastAsia" w:asciiTheme="minorEastAsia" w:hAnsiTheme="minorEastAsia" w:eastAsiaTheme="minorEastAsia"/>
          <w:b/>
          <w:color w:val="000000"/>
        </w:rPr>
        <w:t>七、邀标文件的澄清</w:t>
      </w:r>
      <w:bookmarkEnd w:id="46"/>
      <w:bookmarkEnd w:id="47"/>
      <w:bookmarkEnd w:id="48"/>
      <w:bookmarkEnd w:id="49"/>
    </w:p>
    <w:p>
      <w:pPr>
        <w:spacing w:line="360" w:lineRule="auto"/>
        <w:ind w:firstLine="480"/>
        <w:rPr>
          <w:rFonts w:hint="eastAsia" w:asciiTheme="minorEastAsia" w:hAnsiTheme="minorEastAsia" w:eastAsiaTheme="minorEastAsia"/>
        </w:rPr>
      </w:pPr>
      <w:bookmarkStart w:id="50" w:name="_Toc237970760"/>
      <w:r>
        <w:rPr>
          <w:rFonts w:hint="eastAsia" w:asciiTheme="minorEastAsia" w:hAnsiTheme="minorEastAsia" w:eastAsiaTheme="minorEastAsia"/>
        </w:rPr>
        <w:t>投标人对邀标文件如有疑点，可要求江苏太极澄清，但该要求应于不迟于投标截止日期前</w:t>
      </w:r>
      <w:r>
        <w:rPr>
          <w:rFonts w:asciiTheme="minorEastAsia" w:hAnsiTheme="minorEastAsia" w:eastAsiaTheme="minorEastAsia"/>
        </w:rPr>
        <w:t>3</w:t>
      </w:r>
      <w:r>
        <w:rPr>
          <w:rFonts w:hint="eastAsia" w:asciiTheme="minorEastAsia" w:hAnsiTheme="minorEastAsia" w:eastAsiaTheme="minorEastAsia"/>
        </w:rPr>
        <w:t>天，按投标邀请中载明的地址及时间以邮件或传真方式送达邀标人。邀标人将视具体情况有权决定是否有必要澄清，如有必要，将采用适当方式予以澄清或以书面形式予以答复。</w:t>
      </w:r>
      <w:bookmarkEnd w:id="50"/>
      <w:bookmarkStart w:id="51" w:name="_Toc125217116"/>
      <w:bookmarkStart w:id="52" w:name="_Toc523210741"/>
      <w:bookmarkStart w:id="53" w:name="_Toc125855742"/>
      <w:bookmarkStart w:id="54" w:name="_Toc523214604"/>
    </w:p>
    <w:p>
      <w:pPr>
        <w:spacing w:line="360" w:lineRule="auto"/>
        <w:ind w:firstLine="0" w:firstLineChars="0"/>
        <w:rPr>
          <w:rFonts w:asciiTheme="minorEastAsia" w:hAnsiTheme="minorEastAsia" w:eastAsiaTheme="minorEastAsia"/>
        </w:rPr>
      </w:pPr>
      <w:r>
        <w:rPr>
          <w:rFonts w:hint="eastAsia" w:asciiTheme="minorEastAsia" w:hAnsiTheme="minorEastAsia" w:eastAsiaTheme="minorEastAsia"/>
          <w:b/>
          <w:color w:val="000000"/>
        </w:rPr>
        <w:t>八、邀标文件的修改</w:t>
      </w:r>
      <w:bookmarkEnd w:id="51"/>
      <w:bookmarkEnd w:id="52"/>
      <w:bookmarkEnd w:id="53"/>
      <w:bookmarkEnd w:id="54"/>
    </w:p>
    <w:p>
      <w:pPr>
        <w:spacing w:line="360" w:lineRule="auto"/>
        <w:ind w:firstLine="480"/>
        <w:rPr>
          <w:rFonts w:asciiTheme="minorEastAsia" w:hAnsiTheme="minorEastAsia" w:eastAsiaTheme="minorEastAsia"/>
        </w:rPr>
      </w:pPr>
      <w:bookmarkStart w:id="55" w:name="_Toc237970762"/>
      <w:r>
        <w:rPr>
          <w:rFonts w:asciiTheme="minorEastAsia" w:hAnsiTheme="minorEastAsia" w:eastAsiaTheme="minorEastAsia"/>
        </w:rPr>
        <w:t>1</w:t>
      </w:r>
      <w:r>
        <w:rPr>
          <w:rFonts w:hint="eastAsia" w:asciiTheme="minorEastAsia" w:hAnsiTheme="minorEastAsia" w:eastAsiaTheme="minorEastAsia"/>
        </w:rPr>
        <w:t>、在投标截止日期1日前，邀标人可主动地或依据投标人要求澄清的问题而修改邀标文件，并以书面形式通知所有已确认参加投标的每一投标人，投标人在收到该通知后应立即以邮件或传真的形式予以确认。</w:t>
      </w:r>
      <w:bookmarkEnd w:id="55"/>
    </w:p>
    <w:p>
      <w:pPr>
        <w:spacing w:line="360" w:lineRule="auto"/>
        <w:ind w:firstLine="480"/>
        <w:rPr>
          <w:rFonts w:asciiTheme="minorEastAsia" w:hAnsiTheme="minorEastAsia" w:eastAsiaTheme="minorEastAsia"/>
        </w:rPr>
      </w:pPr>
      <w:bookmarkStart w:id="56" w:name="_Toc237970763"/>
      <w:r>
        <w:rPr>
          <w:rFonts w:asciiTheme="minorEastAsia" w:hAnsiTheme="minorEastAsia" w:eastAsiaTheme="minorEastAsia"/>
        </w:rPr>
        <w:t>2</w:t>
      </w:r>
      <w:r>
        <w:rPr>
          <w:rFonts w:hint="eastAsia" w:asciiTheme="minorEastAsia" w:hAnsiTheme="minorEastAsia" w:eastAsiaTheme="minorEastAsia"/>
        </w:rPr>
        <w:t>、为使投标人在准备投标文件时有合理的时间考虑邀标文件的修改，邀标人可酌情推迟投标截止时间，并以书面形式通知已接收邀标文件的每一投标人。</w:t>
      </w:r>
      <w:bookmarkEnd w:id="56"/>
    </w:p>
    <w:p>
      <w:pPr>
        <w:spacing w:line="360" w:lineRule="auto"/>
        <w:ind w:firstLine="480"/>
        <w:rPr>
          <w:rFonts w:asciiTheme="minorEastAsia" w:hAnsiTheme="minorEastAsia" w:eastAsiaTheme="minorEastAsia"/>
        </w:rPr>
      </w:pPr>
      <w:bookmarkStart w:id="57" w:name="_Toc237970764"/>
      <w:r>
        <w:rPr>
          <w:rFonts w:asciiTheme="minorEastAsia" w:hAnsiTheme="minorEastAsia" w:eastAsiaTheme="minorEastAsia"/>
        </w:rPr>
        <w:t>3</w:t>
      </w:r>
      <w:r>
        <w:rPr>
          <w:rFonts w:hint="eastAsia" w:asciiTheme="minorEastAsia" w:hAnsiTheme="minorEastAsia" w:eastAsiaTheme="minorEastAsia"/>
        </w:rPr>
        <w:t>、邀标文件的修改书将构成邀标文件的一部分，对所有投标人有约束力。</w:t>
      </w:r>
      <w:bookmarkEnd w:id="57"/>
      <w:bookmarkStart w:id="58" w:name="_Toc125217117"/>
      <w:bookmarkStart w:id="59" w:name="_Toc125855743"/>
      <w:bookmarkStart w:id="60" w:name="_Toc523214605"/>
      <w:bookmarkStart w:id="61" w:name="_Toc523210742"/>
      <w:r>
        <w:rPr>
          <w:rFonts w:hint="eastAsia" w:asciiTheme="minorEastAsia" w:hAnsiTheme="minorEastAsia" w:eastAsiaTheme="minorEastAsia"/>
          <w:b/>
          <w:color w:val="000000"/>
        </w:rPr>
        <w:t>九、投标地点及截止时间</w:t>
      </w:r>
      <w:bookmarkEnd w:id="58"/>
      <w:bookmarkEnd w:id="59"/>
      <w:bookmarkEnd w:id="60"/>
      <w:bookmarkEnd w:id="61"/>
    </w:p>
    <w:p>
      <w:pPr>
        <w:spacing w:line="360" w:lineRule="auto"/>
        <w:ind w:firstLine="480"/>
        <w:rPr>
          <w:rFonts w:asciiTheme="minorEastAsia" w:hAnsiTheme="minorEastAsia" w:eastAsiaTheme="minorEastAsia"/>
          <w:color w:val="000000"/>
        </w:rPr>
      </w:pPr>
      <w:r>
        <w:rPr>
          <w:rFonts w:hint="eastAsia" w:cs="Arial" w:asciiTheme="minorEastAsia" w:hAnsiTheme="minorEastAsia" w:eastAsiaTheme="minorEastAsia"/>
          <w:color w:val="000000"/>
        </w:rPr>
        <w:t>江苏太极实业新材料有限公司</w:t>
      </w:r>
      <w:r>
        <w:rPr>
          <w:rFonts w:hint="eastAsia" w:asciiTheme="minorEastAsia" w:hAnsiTheme="minorEastAsia" w:eastAsiaTheme="minorEastAsia"/>
          <w:color w:val="000000"/>
        </w:rPr>
        <w:t>就“</w:t>
      </w:r>
      <w:r>
        <w:rPr>
          <w:rFonts w:hint="eastAsia" w:asciiTheme="minorEastAsia" w:hAnsiTheme="minorEastAsia" w:eastAsiaTheme="minorEastAsia"/>
          <w:b/>
          <w:color w:val="000000"/>
          <w:u w:val="single"/>
          <w14:shadow w14:blurRad="50800" w14:dist="38100" w14:dir="2700000" w14:sx="100000" w14:sy="100000" w14:kx="0" w14:ky="0" w14:algn="tl">
            <w14:srgbClr w14:val="000000">
              <w14:alpha w14:val="60000"/>
            </w14:srgbClr>
          </w14:shadow>
        </w:rPr>
        <w:t>办公协同系统项目”</w:t>
      </w:r>
      <w:r>
        <w:rPr>
          <w:rFonts w:hint="eastAsia" w:asciiTheme="minorEastAsia" w:hAnsiTheme="minorEastAsia" w:eastAsiaTheme="minorEastAsia"/>
          <w:color w:val="000000"/>
        </w:rPr>
        <w:t>进行邀标，邀请合格投标人提交密封投标书：</w:t>
      </w:r>
    </w:p>
    <w:p>
      <w:pPr>
        <w:numPr>
          <w:ilvl w:val="0"/>
          <w:numId w:val="8"/>
        </w:numPr>
        <w:spacing w:line="360" w:lineRule="auto"/>
        <w:ind w:firstLine="482"/>
        <w:rPr>
          <w:rFonts w:asciiTheme="minorEastAsia" w:hAnsiTheme="minorEastAsia" w:eastAsiaTheme="minorEastAsia"/>
          <w:color w:val="000000"/>
        </w:rPr>
      </w:pPr>
      <w:r>
        <w:rPr>
          <w:rFonts w:hint="eastAsia" w:asciiTheme="minorEastAsia" w:hAnsiTheme="minorEastAsia" w:eastAsiaTheme="minorEastAsia"/>
          <w:b/>
          <w:color w:val="000000"/>
        </w:rPr>
        <w:t>项目名称</w:t>
      </w:r>
      <w:r>
        <w:rPr>
          <w:rFonts w:hint="eastAsia" w:asciiTheme="minorEastAsia" w:hAnsiTheme="minorEastAsia" w:eastAsiaTheme="minorEastAsia"/>
          <w:color w:val="000000"/>
        </w:rPr>
        <w:t>：</w:t>
      </w:r>
      <w:r>
        <w:rPr>
          <w:rFonts w:hint="eastAsia" w:asciiTheme="minorEastAsia" w:hAnsiTheme="minorEastAsia" w:eastAsiaTheme="minorEastAsia"/>
          <w:color w:val="000000"/>
          <w:u w:val="single"/>
          <w14:shadow w14:blurRad="50800" w14:dist="38100" w14:dir="2700000" w14:sx="100000" w14:sy="100000" w14:kx="0" w14:ky="0" w14:algn="tl">
            <w14:srgbClr w14:val="000000">
              <w14:alpha w14:val="60000"/>
            </w14:srgbClr>
          </w14:shadow>
        </w:rPr>
        <w:t xml:space="preserve"> 办公协同系统项目</w:t>
      </w:r>
    </w:p>
    <w:p>
      <w:pPr>
        <w:numPr>
          <w:ilvl w:val="0"/>
          <w:numId w:val="8"/>
        </w:numPr>
        <w:spacing w:line="360" w:lineRule="auto"/>
        <w:ind w:firstLine="482"/>
        <w:rPr>
          <w:rFonts w:asciiTheme="minorEastAsia" w:hAnsiTheme="minorEastAsia" w:eastAsiaTheme="minorEastAsia"/>
          <w:color w:val="000000"/>
        </w:rPr>
      </w:pPr>
      <w:r>
        <w:rPr>
          <w:rFonts w:hint="eastAsia" w:asciiTheme="minorEastAsia" w:hAnsiTheme="minorEastAsia" w:eastAsiaTheme="minorEastAsia"/>
          <w:b/>
          <w:color w:val="000000"/>
        </w:rPr>
        <w:t>使用范围</w:t>
      </w:r>
      <w:r>
        <w:rPr>
          <w:rFonts w:hint="eastAsia" w:asciiTheme="minorEastAsia" w:hAnsiTheme="minorEastAsia" w:eastAsiaTheme="minorEastAsia"/>
          <w:color w:val="000000"/>
        </w:rPr>
        <w:t>：</w:t>
      </w:r>
      <w:r>
        <w:rPr>
          <w:rFonts w:hint="eastAsia" w:cs="Arial" w:asciiTheme="minorEastAsia" w:hAnsiTheme="minorEastAsia" w:eastAsiaTheme="minorEastAsia"/>
          <w:color w:val="000000"/>
        </w:rPr>
        <w:t>江苏太极实业新材料有限公司</w:t>
      </w:r>
    </w:p>
    <w:p>
      <w:pPr>
        <w:numPr>
          <w:ilvl w:val="0"/>
          <w:numId w:val="8"/>
        </w:numPr>
        <w:spacing w:line="360" w:lineRule="auto"/>
        <w:ind w:firstLine="482"/>
        <w:rPr>
          <w:rFonts w:asciiTheme="minorEastAsia" w:hAnsiTheme="minorEastAsia" w:eastAsiaTheme="minorEastAsia"/>
          <w:color w:val="000000"/>
        </w:rPr>
      </w:pPr>
      <w:r>
        <w:rPr>
          <w:rFonts w:hint="eastAsia" w:asciiTheme="minorEastAsia" w:hAnsiTheme="minorEastAsia" w:eastAsiaTheme="minorEastAsia"/>
          <w:b/>
          <w:color w:val="000000"/>
        </w:rPr>
        <w:t>需求说明</w:t>
      </w:r>
      <w:r>
        <w:rPr>
          <w:rFonts w:hint="eastAsia" w:asciiTheme="minorEastAsia" w:hAnsiTheme="minorEastAsia" w:eastAsiaTheme="minorEastAsia"/>
          <w:color w:val="000000"/>
        </w:rPr>
        <w:t>：见第二部分。</w:t>
      </w:r>
    </w:p>
    <w:p>
      <w:pPr>
        <w:numPr>
          <w:ilvl w:val="0"/>
          <w:numId w:val="8"/>
        </w:numPr>
        <w:spacing w:line="360" w:lineRule="auto"/>
        <w:ind w:firstLine="482"/>
        <w:rPr>
          <w:rFonts w:asciiTheme="minorEastAsia" w:hAnsiTheme="minorEastAsia" w:eastAsiaTheme="minorEastAsia"/>
        </w:rPr>
      </w:pPr>
      <w:r>
        <w:rPr>
          <w:rFonts w:hint="eastAsia" w:asciiTheme="minorEastAsia" w:hAnsiTheme="minorEastAsia" w:eastAsiaTheme="minorEastAsia"/>
          <w:b/>
        </w:rPr>
        <w:t>标书发送时间</w:t>
      </w:r>
      <w:r>
        <w:rPr>
          <w:rFonts w:hint="eastAsia" w:asciiTheme="minorEastAsia" w:hAnsiTheme="minorEastAsia" w:eastAsiaTheme="minorEastAsia"/>
        </w:rPr>
        <w:t>：</w:t>
      </w:r>
      <w:r>
        <w:rPr>
          <w:rFonts w:hint="eastAsia" w:asciiTheme="minorEastAsia" w:hAnsiTheme="minorEastAsia" w:eastAsiaTheme="minorEastAsia"/>
          <w:shd w:val="pct10" w:color="auto" w:fill="FFFFFF"/>
        </w:rPr>
        <w:t xml:space="preserve"> 2020年6月</w:t>
      </w:r>
      <w:r>
        <w:rPr>
          <w:rFonts w:hint="eastAsia" w:asciiTheme="minorEastAsia" w:hAnsiTheme="minorEastAsia" w:eastAsiaTheme="minorEastAsia"/>
          <w:shd w:val="pct10" w:color="auto" w:fill="FFFFFF"/>
          <w:lang w:val="en-US" w:eastAsia="zh-CN"/>
        </w:rPr>
        <w:t>10</w:t>
      </w:r>
      <w:r>
        <w:rPr>
          <w:rFonts w:hint="eastAsia" w:asciiTheme="minorEastAsia" w:hAnsiTheme="minorEastAsia" w:eastAsiaTheme="minorEastAsia"/>
          <w:shd w:val="pct10" w:color="auto" w:fill="FFFFFF"/>
        </w:rPr>
        <w:t>日。</w:t>
      </w:r>
    </w:p>
    <w:p>
      <w:pPr>
        <w:numPr>
          <w:ilvl w:val="0"/>
          <w:numId w:val="8"/>
        </w:numPr>
        <w:spacing w:line="360" w:lineRule="auto"/>
        <w:ind w:firstLine="482"/>
        <w:rPr>
          <w:rFonts w:asciiTheme="minorEastAsia" w:hAnsiTheme="minorEastAsia" w:eastAsiaTheme="minorEastAsia"/>
        </w:rPr>
      </w:pPr>
      <w:r>
        <w:rPr>
          <w:rFonts w:hint="eastAsia" w:asciiTheme="minorEastAsia" w:hAnsiTheme="minorEastAsia" w:eastAsiaTheme="minorEastAsia"/>
          <w:b/>
        </w:rPr>
        <w:t>投标截止时间</w:t>
      </w:r>
      <w:r>
        <w:rPr>
          <w:rFonts w:hint="eastAsia" w:asciiTheme="minorEastAsia" w:hAnsiTheme="minorEastAsia" w:eastAsiaTheme="minorEastAsia"/>
        </w:rPr>
        <w:t>：</w:t>
      </w:r>
      <w:r>
        <w:rPr>
          <w:rFonts w:hint="eastAsia" w:asciiTheme="minorEastAsia" w:hAnsiTheme="minorEastAsia" w:eastAsiaTheme="minorEastAsia"/>
          <w:shd w:val="pct10" w:color="auto" w:fill="FFFFFF"/>
        </w:rPr>
        <w:t xml:space="preserve"> 2020年6月2</w:t>
      </w:r>
      <w:r>
        <w:rPr>
          <w:rFonts w:hint="eastAsia" w:asciiTheme="minorEastAsia" w:hAnsiTheme="minorEastAsia" w:eastAsiaTheme="minorEastAsia"/>
          <w:shd w:val="pct10" w:color="auto" w:fill="FFFFFF"/>
          <w:lang w:val="en-US" w:eastAsia="zh-CN"/>
        </w:rPr>
        <w:t>5</w:t>
      </w:r>
      <w:r>
        <w:rPr>
          <w:rFonts w:hint="eastAsia" w:asciiTheme="minorEastAsia" w:hAnsiTheme="minorEastAsia" w:eastAsiaTheme="minorEastAsia"/>
          <w:shd w:val="pct10" w:color="auto" w:fill="FFFFFF"/>
        </w:rPr>
        <w:t>日下午16：00</w:t>
      </w:r>
      <w:r>
        <w:rPr>
          <w:rFonts w:hint="eastAsia" w:asciiTheme="minorEastAsia" w:hAnsiTheme="minorEastAsia" w:eastAsiaTheme="minorEastAsia"/>
        </w:rPr>
        <w:t xml:space="preserve">  逾期收到或不符合规定的投标文件恕不接受。</w:t>
      </w:r>
    </w:p>
    <w:p>
      <w:pPr>
        <w:numPr>
          <w:ilvl w:val="0"/>
          <w:numId w:val="8"/>
        </w:numPr>
        <w:spacing w:line="360" w:lineRule="auto"/>
        <w:ind w:firstLine="482"/>
        <w:rPr>
          <w:rFonts w:asciiTheme="minorEastAsia" w:hAnsiTheme="minorEastAsia" w:eastAsiaTheme="minorEastAsia"/>
          <w:color w:val="000000"/>
        </w:rPr>
      </w:pPr>
      <w:r>
        <w:rPr>
          <w:rFonts w:hint="eastAsia" w:asciiTheme="minorEastAsia" w:hAnsiTheme="minorEastAsia" w:eastAsiaTheme="minorEastAsia"/>
          <w:b/>
        </w:rPr>
        <w:t>标书发送地点</w:t>
      </w:r>
      <w:r>
        <w:rPr>
          <w:rFonts w:hint="eastAsia" w:asciiTheme="minorEastAsia" w:hAnsiTheme="minorEastAsia" w:eastAsiaTheme="minorEastAsia"/>
        </w:rPr>
        <w:t>：</w:t>
      </w:r>
      <w:r>
        <w:rPr>
          <w:rFonts w:hint="eastAsia" w:cs="Arial" w:asciiTheme="minorEastAsia" w:hAnsiTheme="minorEastAsia" w:eastAsiaTheme="minorEastAsia"/>
          <w:color w:val="000000"/>
        </w:rPr>
        <w:t>江苏太极实业新材料有限公司</w:t>
      </w:r>
      <w:r>
        <w:rPr>
          <w:rFonts w:hint="eastAsia" w:asciiTheme="minorEastAsia" w:hAnsiTheme="minorEastAsia" w:eastAsiaTheme="minorEastAsia"/>
        </w:rPr>
        <w:t>审计监察部</w:t>
      </w:r>
    </w:p>
    <w:p>
      <w:pPr>
        <w:spacing w:line="360" w:lineRule="auto"/>
        <w:ind w:left="480" w:leftChars="200" w:firstLine="2520" w:firstLineChars="1050"/>
        <w:rPr>
          <w:rFonts w:asciiTheme="minorEastAsia" w:hAnsiTheme="minorEastAsia" w:eastAsiaTheme="minorEastAsia"/>
          <w:color w:val="000000"/>
        </w:rPr>
      </w:pPr>
      <w:r>
        <w:rPr>
          <w:rFonts w:hint="eastAsia" w:asciiTheme="minorEastAsia" w:hAnsiTheme="minorEastAsia" w:eastAsiaTheme="minorEastAsia"/>
          <w:color w:val="000000"/>
        </w:rPr>
        <w:t>收 件 人：  郑杰 、  陈广道</w:t>
      </w:r>
    </w:p>
    <w:p>
      <w:pPr>
        <w:numPr>
          <w:ilvl w:val="0"/>
          <w:numId w:val="8"/>
        </w:numPr>
        <w:spacing w:line="360" w:lineRule="auto"/>
        <w:ind w:firstLine="482"/>
        <w:rPr>
          <w:rFonts w:asciiTheme="minorEastAsia" w:hAnsiTheme="minorEastAsia" w:eastAsiaTheme="minorEastAsia"/>
          <w:b/>
        </w:rPr>
      </w:pPr>
      <w:r>
        <w:rPr>
          <w:rFonts w:hint="eastAsia" w:asciiTheme="minorEastAsia" w:hAnsiTheme="minorEastAsia" w:eastAsiaTheme="minorEastAsia"/>
          <w:b/>
        </w:rPr>
        <w:t xml:space="preserve">联系人： </w:t>
      </w:r>
    </w:p>
    <w:p>
      <w:pPr>
        <w:snapToGrid w:val="0"/>
        <w:spacing w:line="360" w:lineRule="auto"/>
        <w:ind w:firstLine="960" w:firstLineChars="400"/>
        <w:contextualSpacing/>
        <w:rPr>
          <w:rFonts w:asciiTheme="minorEastAsia" w:hAnsiTheme="minorEastAsia" w:eastAsiaTheme="minorEastAsia"/>
        </w:rPr>
      </w:pPr>
      <w:r>
        <w:rPr>
          <w:rFonts w:hint="eastAsia" w:asciiTheme="minorEastAsia" w:hAnsiTheme="minorEastAsia" w:eastAsiaTheme="minorEastAsia"/>
        </w:rPr>
        <w:t>联系地址： 扬州市广陵经济开发区迎春西路28号</w:t>
      </w:r>
    </w:p>
    <w:p>
      <w:pPr>
        <w:snapToGrid w:val="0"/>
        <w:spacing w:line="360" w:lineRule="auto"/>
        <w:ind w:firstLine="840" w:firstLineChars="350"/>
        <w:contextualSpacing/>
        <w:rPr>
          <w:rFonts w:asciiTheme="minorEastAsia" w:hAnsiTheme="minorEastAsia" w:eastAsiaTheme="minorEastAsia"/>
        </w:rPr>
      </w:pPr>
      <w:r>
        <w:rPr>
          <w:rFonts w:hint="eastAsia" w:asciiTheme="minorEastAsia" w:hAnsiTheme="minorEastAsia" w:eastAsiaTheme="minorEastAsia"/>
        </w:rPr>
        <w:t xml:space="preserve"> 邮  编:225006</w:t>
      </w:r>
    </w:p>
    <w:p>
      <w:pPr>
        <w:snapToGrid w:val="0"/>
        <w:spacing w:line="360" w:lineRule="auto"/>
        <w:ind w:firstLine="960" w:firstLineChars="400"/>
        <w:contextualSpacing/>
        <w:rPr>
          <w:rFonts w:asciiTheme="minorEastAsia" w:hAnsiTheme="minorEastAsia" w:eastAsiaTheme="minorEastAsia"/>
        </w:rPr>
      </w:pPr>
      <w:r>
        <w:rPr>
          <w:rFonts w:hint="eastAsia" w:asciiTheme="minorEastAsia" w:hAnsiTheme="minorEastAsia" w:eastAsiaTheme="minorEastAsia"/>
        </w:rPr>
        <w:t>传  真:0514-87922101</w:t>
      </w:r>
    </w:p>
    <w:p>
      <w:pPr>
        <w:snapToGrid w:val="0"/>
        <w:spacing w:line="360" w:lineRule="auto"/>
        <w:ind w:firstLine="960" w:firstLineChars="400"/>
        <w:contextualSpacing/>
        <w:rPr>
          <w:rFonts w:hint="eastAsia" w:asciiTheme="minorEastAsia" w:hAnsiTheme="minorEastAsia" w:eastAsiaTheme="minorEastAsia"/>
        </w:rPr>
      </w:pPr>
      <w:r>
        <w:rPr>
          <w:rFonts w:hint="eastAsia" w:asciiTheme="minorEastAsia" w:hAnsiTheme="minorEastAsia" w:eastAsiaTheme="minorEastAsia"/>
        </w:rPr>
        <w:t>电  话:0514-87922136、0514-87460328</w:t>
      </w:r>
    </w:p>
    <w:p>
      <w:pPr>
        <w:snapToGrid w:val="0"/>
        <w:spacing w:line="360" w:lineRule="auto"/>
        <w:ind w:firstLine="960" w:firstLineChars="400"/>
        <w:contextualSpacing/>
        <w:rPr>
          <w:rFonts w:asciiTheme="minorEastAsia" w:hAnsiTheme="minorEastAsia" w:eastAsiaTheme="minorEastAsia"/>
          <w:color w:val="000000"/>
        </w:rPr>
      </w:pPr>
      <w:r>
        <w:rPr>
          <w:rFonts w:hint="eastAsia" w:asciiTheme="minorEastAsia" w:hAnsiTheme="minorEastAsia" w:eastAsiaTheme="minorEastAsia"/>
        </w:rPr>
        <w:t>联</w:t>
      </w:r>
      <w:r>
        <w:rPr>
          <w:rFonts w:asciiTheme="minorEastAsia" w:hAnsiTheme="minorEastAsia" w:eastAsiaTheme="minorEastAsia"/>
        </w:rPr>
        <w:t xml:space="preserve"> </w:t>
      </w:r>
      <w:r>
        <w:rPr>
          <w:rFonts w:hint="eastAsia" w:asciiTheme="minorEastAsia" w:hAnsiTheme="minorEastAsia" w:eastAsiaTheme="minorEastAsia"/>
        </w:rPr>
        <w:t>系</w:t>
      </w:r>
      <w:r>
        <w:rPr>
          <w:rFonts w:asciiTheme="minorEastAsia" w:hAnsiTheme="minorEastAsia" w:eastAsiaTheme="minorEastAsia"/>
        </w:rPr>
        <w:t xml:space="preserve"> </w:t>
      </w:r>
      <w:r>
        <w:rPr>
          <w:rFonts w:hint="eastAsia" w:asciiTheme="minorEastAsia" w:hAnsiTheme="minorEastAsia" w:eastAsiaTheme="minorEastAsia"/>
        </w:rPr>
        <w:t xml:space="preserve">人： </w:t>
      </w:r>
      <w:r>
        <w:rPr>
          <w:rFonts w:hint="eastAsia" w:asciiTheme="minorEastAsia" w:hAnsiTheme="minorEastAsia" w:eastAsiaTheme="minorEastAsia"/>
          <w:color w:val="000000"/>
        </w:rPr>
        <w:t>郑杰、陈广道、龚付生</w:t>
      </w:r>
    </w:p>
    <w:p>
      <w:pPr>
        <w:spacing w:line="360" w:lineRule="auto"/>
        <w:ind w:firstLine="964" w:firstLineChars="400"/>
        <w:rPr>
          <w:rFonts w:asciiTheme="minorEastAsia" w:hAnsiTheme="minorEastAsia" w:eastAsiaTheme="minorEastAsia"/>
          <w:color w:val="000000"/>
        </w:rPr>
      </w:pPr>
      <w:r>
        <w:rPr>
          <w:rFonts w:hint="eastAsia" w:asciiTheme="minorEastAsia" w:hAnsiTheme="minorEastAsia" w:eastAsiaTheme="minorEastAsia"/>
          <w:b/>
          <w:color w:val="000000"/>
        </w:rPr>
        <w:t>8.</w:t>
      </w:r>
      <w:r>
        <w:rPr>
          <w:rFonts w:hint="eastAsia" w:asciiTheme="minorEastAsia" w:hAnsiTheme="minorEastAsia" w:eastAsiaTheme="minorEastAsia"/>
          <w:b/>
        </w:rPr>
        <w:t>投标文件份数:</w:t>
      </w:r>
      <w:r>
        <w:rPr>
          <w:rFonts w:hint="eastAsia" w:asciiTheme="minorEastAsia" w:hAnsiTheme="minorEastAsia" w:eastAsiaTheme="minorEastAsia"/>
        </w:rPr>
        <w:t xml:space="preserve"> 正本</w:t>
      </w:r>
      <w:r>
        <w:rPr>
          <w:rFonts w:hint="eastAsia" w:asciiTheme="minorEastAsia" w:hAnsiTheme="minorEastAsia" w:eastAsiaTheme="minorEastAsia"/>
          <w:u w:val="single"/>
        </w:rPr>
        <w:t>　1　</w:t>
      </w:r>
      <w:r>
        <w:rPr>
          <w:rFonts w:hint="eastAsia" w:asciiTheme="minorEastAsia" w:hAnsiTheme="minorEastAsia" w:eastAsiaTheme="minorEastAsia"/>
        </w:rPr>
        <w:t>份、副本</w:t>
      </w:r>
      <w:r>
        <w:rPr>
          <w:rFonts w:hint="eastAsia" w:asciiTheme="minorEastAsia" w:hAnsiTheme="minorEastAsia" w:eastAsiaTheme="minorEastAsia"/>
          <w:u w:val="single"/>
        </w:rPr>
        <w:t>　1　</w:t>
      </w:r>
      <w:r>
        <w:rPr>
          <w:rFonts w:hint="eastAsia" w:asciiTheme="minorEastAsia" w:hAnsiTheme="minorEastAsia" w:eastAsiaTheme="minorEastAsia"/>
        </w:rPr>
        <w:t>份(不退还)</w:t>
      </w:r>
    </w:p>
    <w:p>
      <w:pPr>
        <w:spacing w:after="120" w:line="360" w:lineRule="auto"/>
        <w:ind w:firstLine="0" w:firstLineChars="0"/>
        <w:rPr>
          <w:rFonts w:hint="eastAsia"/>
          <w:b/>
        </w:rPr>
      </w:pPr>
      <w:bookmarkStart w:id="62" w:name="_Toc125855744"/>
      <w:bookmarkStart w:id="63" w:name="_Toc125217118"/>
      <w:bookmarkStart w:id="64" w:name="_Toc523210743"/>
      <w:bookmarkStart w:id="65" w:name="_Toc523214606"/>
      <w:r>
        <w:rPr>
          <w:rFonts w:hint="eastAsia"/>
          <w:b/>
        </w:rPr>
        <w:t>十、对邀标文件的疑问</w:t>
      </w:r>
      <w:bookmarkEnd w:id="62"/>
      <w:bookmarkEnd w:id="63"/>
      <w:bookmarkEnd w:id="64"/>
      <w:bookmarkEnd w:id="65"/>
    </w:p>
    <w:p>
      <w:pPr>
        <w:spacing w:after="120" w:line="360" w:lineRule="auto"/>
        <w:ind w:firstLine="470" w:firstLineChars="196"/>
        <w:rPr>
          <w:rFonts w:hint="eastAsia"/>
          <w:color w:val="000000"/>
        </w:rPr>
      </w:pPr>
      <w:r>
        <w:rPr>
          <w:rFonts w:hint="eastAsia"/>
        </w:rPr>
        <w:t>凡对本次邀标提出疑问，请在</w:t>
      </w:r>
      <w:r>
        <w:rPr>
          <w:rFonts w:hint="eastAsia"/>
          <w:shd w:val="pct10" w:color="auto" w:fill="FFFFFF"/>
        </w:rPr>
        <w:t>2020年6月24日00：00</w:t>
      </w:r>
      <w:r>
        <w:rPr>
          <w:rFonts w:hint="eastAsia"/>
        </w:rPr>
        <w:t>前与</w:t>
      </w:r>
      <w:r>
        <w:rPr>
          <w:rFonts w:hint="eastAsia" w:ascii="宋体" w:hAnsi="宋体" w:cs="Arial"/>
        </w:rPr>
        <w:t>江苏太极实业新材料有限公司</w:t>
      </w:r>
      <w:r>
        <w:rPr>
          <w:rFonts w:hint="eastAsia"/>
        </w:rPr>
        <w:t>邀标联系人联系（请以电话、邮件或传真的形式）。逾期</w:t>
      </w:r>
      <w:r>
        <w:rPr>
          <w:rFonts w:hint="eastAsia"/>
          <w:color w:val="000000"/>
        </w:rPr>
        <w:t>均不作答复。</w:t>
      </w:r>
      <w:bookmarkStart w:id="66" w:name="_Toc523214607"/>
      <w:bookmarkStart w:id="67" w:name="_Toc523210744"/>
      <w:bookmarkStart w:id="68" w:name="_Toc125855745"/>
      <w:bookmarkStart w:id="69" w:name="_Toc125217119"/>
    </w:p>
    <w:p>
      <w:pPr>
        <w:spacing w:after="120" w:line="360" w:lineRule="auto"/>
        <w:ind w:firstLine="0" w:firstLineChars="0"/>
        <w:rPr>
          <w:b/>
          <w:color w:val="000000"/>
        </w:rPr>
      </w:pPr>
      <w:r>
        <w:rPr>
          <w:rFonts w:hint="eastAsia"/>
          <w:b/>
          <w:color w:val="000000"/>
        </w:rPr>
        <w:t>十一、评标与定标</w:t>
      </w:r>
      <w:bookmarkEnd w:id="66"/>
      <w:bookmarkEnd w:id="67"/>
      <w:bookmarkEnd w:id="68"/>
      <w:bookmarkEnd w:id="69"/>
    </w:p>
    <w:p>
      <w:pPr>
        <w:autoSpaceDE w:val="0"/>
        <w:autoSpaceDN w:val="0"/>
        <w:adjustRightInd w:val="0"/>
        <w:spacing w:line="360" w:lineRule="auto"/>
        <w:ind w:firstLine="480"/>
        <w:jc w:val="left"/>
        <w:rPr>
          <w:rFonts w:ascii="宋体" w:hAnsi="宋体" w:cs="楷体_GB2312"/>
          <w:color w:val="000000"/>
          <w:kern w:val="0"/>
        </w:rPr>
      </w:pPr>
      <w:r>
        <w:rPr>
          <w:rFonts w:hint="eastAsia" w:ascii="宋体" w:hAnsi="宋体" w:cs="楷体_GB2312"/>
          <w:color w:val="000000"/>
          <w:kern w:val="0"/>
        </w:rPr>
        <w:t>评标是邀标工作的重要环节，评标工作约定时间由评标小组集中进行。</w:t>
      </w:r>
    </w:p>
    <w:p>
      <w:pPr>
        <w:autoSpaceDE w:val="0"/>
        <w:autoSpaceDN w:val="0"/>
        <w:adjustRightInd w:val="0"/>
        <w:spacing w:line="360" w:lineRule="auto"/>
        <w:ind w:firstLine="480"/>
        <w:jc w:val="left"/>
        <w:rPr>
          <w:rFonts w:ascii="宋体" w:hAnsi="宋体" w:cs="楷体_GB2312"/>
          <w:color w:val="000000"/>
          <w:kern w:val="0"/>
        </w:rPr>
      </w:pPr>
      <w:r>
        <w:rPr>
          <w:rFonts w:hint="eastAsia" w:ascii="宋体" w:hAnsi="宋体" w:cs="楷体_GB2312"/>
          <w:color w:val="000000"/>
          <w:kern w:val="0"/>
        </w:rPr>
        <w:t>评标小组结合报价部分、方案说明部分和投标资格证明部分的情况进行综合评估。在评估过程中评标小组若需对投标商提出技术评测要求或其他询问请求，请投标商配合。</w:t>
      </w:r>
    </w:p>
    <w:p>
      <w:pPr>
        <w:autoSpaceDE w:val="0"/>
        <w:autoSpaceDN w:val="0"/>
        <w:adjustRightInd w:val="0"/>
        <w:spacing w:line="360" w:lineRule="auto"/>
        <w:ind w:firstLine="480"/>
        <w:jc w:val="left"/>
        <w:rPr>
          <w:rFonts w:ascii="宋体" w:hAnsi="宋体" w:cs="楷体_GB2312"/>
          <w:color w:val="000000"/>
          <w:kern w:val="0"/>
        </w:rPr>
      </w:pPr>
      <w:r>
        <w:rPr>
          <w:rFonts w:hint="eastAsia" w:ascii="宋体" w:hAnsi="宋体" w:cs="楷体_GB2312"/>
          <w:color w:val="000000"/>
          <w:kern w:val="0"/>
        </w:rPr>
        <w:t>评标结果揭晓后，邀标方通知中标方。</w:t>
      </w:r>
      <w:r>
        <w:rPr>
          <w:rFonts w:ascii="宋体" w:hAnsi="宋体" w:cs="楷体_GB2312"/>
          <w:color w:val="000000"/>
          <w:kern w:val="0"/>
        </w:rPr>
        <w:t xml:space="preserve"> </w:t>
      </w:r>
      <w:r>
        <w:rPr>
          <w:rFonts w:hint="eastAsia" w:ascii="宋体" w:hAnsi="宋体" w:cs="楷体_GB2312"/>
          <w:color w:val="000000"/>
          <w:kern w:val="0"/>
        </w:rPr>
        <w:t>评标小组不向落标方解释落标原因，不退还投标文件。</w:t>
      </w:r>
    </w:p>
    <w:p>
      <w:pPr>
        <w:spacing w:after="120" w:line="360" w:lineRule="auto"/>
        <w:ind w:firstLine="480"/>
        <w:rPr>
          <w:rFonts w:ascii="宋体" w:hAnsi="宋体" w:cs="楷体_GB2312"/>
          <w:color w:val="000000"/>
          <w:kern w:val="0"/>
        </w:rPr>
      </w:pPr>
      <w:r>
        <w:rPr>
          <w:rFonts w:hint="eastAsia" w:ascii="宋体" w:hAnsi="宋体" w:cs="楷体_GB2312"/>
          <w:color w:val="000000"/>
          <w:kern w:val="0"/>
        </w:rPr>
        <w:t>邀标方将与中标方就价格、系统范围、合作模式、售后服务、技术转移等方面进一步沟通，达成共识之后即签订合同，合同条款由双方根据商议结果拟定。邀标方保留在签署合同前宣告选择结果无效、拒绝接受任何建议书的权力，而不必对受影响的</w:t>
      </w:r>
      <w:r>
        <w:rPr>
          <w:rFonts w:hint="eastAsia" w:ascii="宋体" w:hAnsi="宋体" w:cs="宋体"/>
          <w:color w:val="000000"/>
          <w:kern w:val="0"/>
        </w:rPr>
        <w:t>投标人</w:t>
      </w:r>
      <w:r>
        <w:rPr>
          <w:rFonts w:hint="eastAsia" w:ascii="宋体" w:hAnsi="宋体" w:cs="楷体_GB2312"/>
          <w:color w:val="000000"/>
          <w:kern w:val="0"/>
        </w:rPr>
        <w:t>承担任何责任，也无责任将采取行动的根据告知各受影响的</w:t>
      </w:r>
      <w:r>
        <w:rPr>
          <w:rFonts w:hint="eastAsia" w:ascii="宋体" w:hAnsi="宋体" w:cs="宋体"/>
          <w:color w:val="000000"/>
          <w:kern w:val="0"/>
        </w:rPr>
        <w:t>系统实施商</w:t>
      </w:r>
      <w:r>
        <w:rPr>
          <w:rFonts w:hint="eastAsia" w:ascii="宋体" w:hAnsi="宋体" w:cs="楷体_GB2312"/>
          <w:color w:val="000000"/>
          <w:kern w:val="0"/>
        </w:rPr>
        <w:t>。</w:t>
      </w:r>
    </w:p>
    <w:p>
      <w:pPr>
        <w:spacing w:after="120" w:line="360" w:lineRule="auto"/>
        <w:ind w:firstLine="482"/>
        <w:rPr>
          <w:color w:val="000000"/>
        </w:rPr>
      </w:pPr>
      <w:r>
        <w:rPr>
          <w:rFonts w:hint="eastAsia"/>
          <w:b/>
          <w:color w:val="000000"/>
        </w:rPr>
        <w:t xml:space="preserve"> </w:t>
      </w:r>
    </w:p>
    <w:p>
      <w:pPr>
        <w:pStyle w:val="5"/>
        <w:spacing w:line="360" w:lineRule="auto"/>
        <w:ind w:firstLine="482"/>
        <w:jc w:val="center"/>
        <w:rPr>
          <w:rFonts w:hint="eastAsia"/>
          <w:b/>
        </w:rPr>
      </w:pPr>
      <w:bookmarkStart w:id="70" w:name="_Toc523210745"/>
      <w:bookmarkStart w:id="71" w:name="_Toc523214608"/>
      <w:r>
        <w:rPr>
          <w:b/>
        </w:rPr>
        <w:t xml:space="preserve">C  </w:t>
      </w:r>
      <w:r>
        <w:rPr>
          <w:rFonts w:hint="eastAsia"/>
          <w:b/>
        </w:rPr>
        <w:t>投标文件的编写</w:t>
      </w:r>
      <w:bookmarkEnd w:id="70"/>
      <w:bookmarkEnd w:id="71"/>
      <w:bookmarkStart w:id="72" w:name="_Toc125217121"/>
      <w:bookmarkStart w:id="73" w:name="_Toc125855747"/>
      <w:bookmarkStart w:id="74" w:name="_Toc523214609"/>
      <w:bookmarkStart w:id="75" w:name="_Toc523210746"/>
    </w:p>
    <w:p>
      <w:pPr>
        <w:pStyle w:val="5"/>
        <w:spacing w:line="360" w:lineRule="auto"/>
        <w:ind w:firstLine="198" w:firstLineChars="82"/>
        <w:rPr>
          <w:b/>
        </w:rPr>
      </w:pPr>
      <w:r>
        <w:rPr>
          <w:rFonts w:hint="eastAsia"/>
          <w:b/>
        </w:rPr>
        <w:t>十二、要求</w:t>
      </w:r>
      <w:bookmarkEnd w:id="72"/>
      <w:bookmarkEnd w:id="73"/>
      <w:bookmarkEnd w:id="74"/>
      <w:bookmarkEnd w:id="75"/>
    </w:p>
    <w:p>
      <w:pPr>
        <w:spacing w:line="360" w:lineRule="auto"/>
        <w:ind w:firstLine="480"/>
      </w:pPr>
      <w:bookmarkStart w:id="76" w:name="_Toc237970773"/>
      <w:r>
        <w:rPr>
          <w:rFonts w:hint="eastAsia"/>
        </w:rPr>
        <w:t>投标人应仔细阅读邀标文件的所有内容，按邀标文件的要求提供投标文件，并保证所提供的全部资料的真实性，以使其投标对邀标文件做出实质性响应，否则，其投标可能被拒绝。</w:t>
      </w:r>
      <w:bookmarkEnd w:id="76"/>
    </w:p>
    <w:p>
      <w:pPr>
        <w:spacing w:after="120" w:line="360" w:lineRule="auto"/>
        <w:ind w:firstLine="480"/>
        <w:rPr>
          <w:rFonts w:hint="eastAsia"/>
          <w:color w:val="000000"/>
        </w:rPr>
      </w:pPr>
      <w:r>
        <w:rPr>
          <w:rFonts w:hint="eastAsia"/>
          <w:color w:val="000000"/>
        </w:rPr>
        <w:t>各投标</w:t>
      </w:r>
      <w:r>
        <w:rPr>
          <w:color w:val="000000"/>
        </w:rPr>
        <w:t>方</w:t>
      </w:r>
      <w:r>
        <w:rPr>
          <w:rFonts w:hint="eastAsia"/>
          <w:color w:val="000000"/>
        </w:rPr>
        <w:t>应</w:t>
      </w:r>
      <w:r>
        <w:rPr>
          <w:color w:val="000000"/>
        </w:rPr>
        <w:t>仔细阅读</w:t>
      </w:r>
      <w:r>
        <w:rPr>
          <w:rFonts w:hint="eastAsia"/>
          <w:color w:val="000000"/>
        </w:rPr>
        <w:t>评标</w:t>
      </w:r>
      <w:r>
        <w:rPr>
          <w:color w:val="000000"/>
        </w:rPr>
        <w:t>办法</w:t>
      </w:r>
      <w:r>
        <w:rPr>
          <w:rFonts w:hint="eastAsia"/>
          <w:color w:val="000000"/>
        </w:rPr>
        <w:t>的</w:t>
      </w:r>
      <w:r>
        <w:rPr>
          <w:color w:val="000000"/>
        </w:rPr>
        <w:t>所有内容，</w:t>
      </w:r>
      <w:r>
        <w:rPr>
          <w:rFonts w:hint="eastAsia"/>
          <w:color w:val="000000"/>
        </w:rPr>
        <w:t>在</w:t>
      </w:r>
      <w:r>
        <w:rPr>
          <w:color w:val="000000"/>
        </w:rPr>
        <w:t>标书中</w:t>
      </w:r>
      <w:r>
        <w:rPr>
          <w:rFonts w:hint="eastAsia"/>
          <w:color w:val="000000"/>
        </w:rPr>
        <w:t>提供涉及评分</w:t>
      </w:r>
      <w:r>
        <w:rPr>
          <w:color w:val="000000"/>
        </w:rPr>
        <w:t>项的证明材料</w:t>
      </w:r>
      <w:r>
        <w:rPr>
          <w:rFonts w:hint="eastAsia"/>
          <w:color w:val="000000"/>
        </w:rPr>
        <w:t>，如</w:t>
      </w:r>
      <w:r>
        <w:rPr>
          <w:color w:val="000000"/>
        </w:rPr>
        <w:t>不提供</w:t>
      </w:r>
      <w:r>
        <w:rPr>
          <w:rFonts w:hint="eastAsia"/>
          <w:color w:val="000000"/>
        </w:rPr>
        <w:t>则</w:t>
      </w:r>
      <w:r>
        <w:rPr>
          <w:color w:val="000000"/>
        </w:rPr>
        <w:t>视为无</w:t>
      </w:r>
      <w:r>
        <w:rPr>
          <w:rFonts w:hint="eastAsia"/>
          <w:color w:val="000000"/>
        </w:rPr>
        <w:t>证明</w:t>
      </w:r>
      <w:r>
        <w:rPr>
          <w:color w:val="000000"/>
        </w:rPr>
        <w:t>材料</w:t>
      </w:r>
      <w:r>
        <w:rPr>
          <w:rFonts w:hint="eastAsia"/>
          <w:color w:val="000000"/>
        </w:rPr>
        <w:t>不得</w:t>
      </w:r>
      <w:r>
        <w:rPr>
          <w:color w:val="000000"/>
        </w:rPr>
        <w:t>获取相应得分。</w:t>
      </w:r>
      <w:bookmarkStart w:id="77" w:name="_Toc523210747"/>
      <w:bookmarkStart w:id="78" w:name="_Toc125217122"/>
      <w:bookmarkStart w:id="79" w:name="_Toc523214610"/>
      <w:bookmarkStart w:id="80" w:name="_Toc125855748"/>
    </w:p>
    <w:p>
      <w:pPr>
        <w:spacing w:after="120" w:line="360" w:lineRule="auto"/>
        <w:ind w:left="0" w:leftChars="0" w:firstLine="0" w:firstLineChars="0"/>
        <w:rPr>
          <w:color w:val="000000"/>
        </w:rPr>
      </w:pPr>
      <w:r>
        <w:rPr>
          <w:rFonts w:hint="eastAsia"/>
          <w:color w:val="000000"/>
        </w:rPr>
        <w:t>十三</w:t>
      </w:r>
      <w:r>
        <w:rPr>
          <w:rFonts w:hint="eastAsia"/>
          <w:b/>
          <w:color w:val="000000"/>
        </w:rPr>
        <w:t>、投标语言及计量单位</w:t>
      </w:r>
      <w:bookmarkEnd w:id="77"/>
      <w:bookmarkEnd w:id="78"/>
      <w:bookmarkEnd w:id="79"/>
      <w:bookmarkEnd w:id="80"/>
    </w:p>
    <w:p>
      <w:pPr>
        <w:pStyle w:val="6"/>
        <w:numPr>
          <w:ilvl w:val="0"/>
          <w:numId w:val="9"/>
        </w:numPr>
        <w:spacing w:after="120" w:line="360" w:lineRule="auto"/>
        <w:ind w:firstLineChars="0"/>
        <w:jc w:val="left"/>
        <w:rPr>
          <w:rFonts w:eastAsia="宋体"/>
          <w:b/>
          <w:color w:val="000000"/>
          <w:szCs w:val="24"/>
          <w:u w:val="none"/>
        </w:rPr>
      </w:pPr>
      <w:r>
        <w:rPr>
          <w:rFonts w:hint="eastAsia" w:eastAsia="宋体"/>
          <w:color w:val="000000"/>
          <w:szCs w:val="24"/>
          <w:u w:val="none"/>
        </w:rPr>
        <w:t>投标文件及投标人和邀标人就投标交换的文件和来往信件，应以中文书写。</w:t>
      </w:r>
    </w:p>
    <w:p>
      <w:pPr>
        <w:pStyle w:val="6"/>
        <w:numPr>
          <w:ilvl w:val="0"/>
          <w:numId w:val="9"/>
        </w:numPr>
        <w:spacing w:after="120" w:line="360" w:lineRule="auto"/>
        <w:ind w:firstLineChars="0"/>
        <w:jc w:val="left"/>
        <w:rPr>
          <w:rFonts w:hint="eastAsia" w:eastAsia="宋体"/>
          <w:b/>
          <w:color w:val="000000"/>
          <w:szCs w:val="24"/>
          <w:u w:val="none"/>
        </w:rPr>
      </w:pPr>
      <w:r>
        <w:rPr>
          <w:rFonts w:hint="eastAsia" w:eastAsia="宋体"/>
          <w:color w:val="000000"/>
          <w:szCs w:val="24"/>
          <w:u w:val="none"/>
        </w:rPr>
        <w:t>除在邀标文件的技术规格中另有规定外，计量单位应使用中华人民共和国法定计量单位（国际单位制和国家选定的其他计量单位）。</w:t>
      </w:r>
      <w:bookmarkStart w:id="81" w:name="_Toc523210748"/>
      <w:bookmarkStart w:id="82" w:name="_Toc523214611"/>
      <w:bookmarkStart w:id="83" w:name="_Toc125855749"/>
      <w:bookmarkStart w:id="84" w:name="_Toc125217123"/>
    </w:p>
    <w:p>
      <w:pPr>
        <w:pStyle w:val="6"/>
        <w:spacing w:after="120" w:line="360" w:lineRule="auto"/>
        <w:ind w:left="0" w:firstLine="0" w:firstLineChars="0"/>
        <w:jc w:val="left"/>
        <w:rPr>
          <w:rFonts w:eastAsia="宋体"/>
          <w:b/>
          <w:bCs/>
          <w:color w:val="000000"/>
          <w:szCs w:val="24"/>
          <w:u w:val="none"/>
        </w:rPr>
      </w:pPr>
      <w:r>
        <w:rPr>
          <w:rFonts w:hint="eastAsia" w:eastAsia="宋体"/>
          <w:b/>
          <w:bCs/>
          <w:color w:val="000000"/>
          <w:szCs w:val="24"/>
          <w:u w:val="none"/>
        </w:rPr>
        <w:t>十四</w:t>
      </w:r>
      <w:bookmarkEnd w:id="81"/>
      <w:bookmarkEnd w:id="82"/>
      <w:bookmarkEnd w:id="83"/>
      <w:bookmarkEnd w:id="84"/>
      <w:r>
        <w:rPr>
          <w:rFonts w:hint="eastAsia" w:eastAsia="宋体"/>
          <w:b/>
          <w:bCs/>
          <w:color w:val="000000"/>
          <w:szCs w:val="24"/>
          <w:u w:val="none"/>
          <w:lang w:eastAsia="zh-CN"/>
        </w:rPr>
        <w:t>、</w:t>
      </w:r>
      <w:r>
        <w:rPr>
          <w:rFonts w:hint="eastAsia" w:eastAsia="宋体"/>
          <w:b/>
          <w:bCs/>
          <w:color w:val="000000"/>
          <w:szCs w:val="24"/>
          <w:u w:val="none"/>
        </w:rPr>
        <w:t>投标文件的组成</w:t>
      </w:r>
    </w:p>
    <w:p>
      <w:pPr>
        <w:spacing w:line="360" w:lineRule="auto"/>
        <w:ind w:firstLine="480"/>
      </w:pPr>
      <w:bookmarkStart w:id="85" w:name="_Toc237970776"/>
      <w:r>
        <w:rPr>
          <w:rFonts w:hint="eastAsia"/>
        </w:rPr>
        <w:t>投标文件应包括下列内容：</w:t>
      </w:r>
      <w:bookmarkEnd w:id="85"/>
    </w:p>
    <w:p>
      <w:pPr>
        <w:pStyle w:val="4"/>
        <w:spacing w:line="360" w:lineRule="auto"/>
        <w:ind w:firstLine="480"/>
        <w:rPr>
          <w:color w:val="000000"/>
        </w:rPr>
      </w:pPr>
      <w:r>
        <w:rPr>
          <w:rFonts w:hint="eastAsia"/>
          <w:color w:val="000000"/>
        </w:rPr>
        <w:t>项目名称：</w:t>
      </w:r>
      <w:r>
        <w:rPr>
          <w:rFonts w:hint="eastAsia"/>
          <w:color w:val="000000"/>
          <w:u w:val="single"/>
        </w:rPr>
        <w:t>办公协同系统项目</w:t>
      </w:r>
    </w:p>
    <w:p>
      <w:pPr>
        <w:numPr>
          <w:ilvl w:val="1"/>
          <w:numId w:val="10"/>
        </w:numPr>
        <w:tabs>
          <w:tab w:val="left" w:pos="180"/>
          <w:tab w:val="clear" w:pos="780"/>
        </w:tabs>
        <w:spacing w:line="360" w:lineRule="auto"/>
        <w:ind w:left="720" w:firstLine="480"/>
        <w:rPr>
          <w:color w:val="000000"/>
        </w:rPr>
      </w:pPr>
      <w:r>
        <w:rPr>
          <w:rFonts w:hint="eastAsia"/>
          <w:color w:val="000000"/>
        </w:rPr>
        <w:t>公司介绍</w:t>
      </w:r>
    </w:p>
    <w:p>
      <w:pPr>
        <w:numPr>
          <w:ilvl w:val="1"/>
          <w:numId w:val="10"/>
        </w:numPr>
        <w:tabs>
          <w:tab w:val="left" w:pos="180"/>
          <w:tab w:val="clear" w:pos="780"/>
        </w:tabs>
        <w:spacing w:line="360" w:lineRule="auto"/>
        <w:ind w:left="720" w:firstLine="480"/>
        <w:rPr>
          <w:color w:val="000000"/>
        </w:rPr>
      </w:pPr>
      <w:r>
        <w:rPr>
          <w:rFonts w:hint="eastAsia"/>
          <w:color w:val="000000"/>
        </w:rPr>
        <w:t>资质文件</w:t>
      </w:r>
    </w:p>
    <w:p>
      <w:pPr>
        <w:numPr>
          <w:ilvl w:val="1"/>
          <w:numId w:val="10"/>
        </w:numPr>
        <w:tabs>
          <w:tab w:val="left" w:pos="180"/>
          <w:tab w:val="clear" w:pos="780"/>
        </w:tabs>
        <w:spacing w:line="360" w:lineRule="auto"/>
        <w:ind w:left="720" w:firstLine="480"/>
        <w:rPr>
          <w:color w:val="000000"/>
        </w:rPr>
      </w:pPr>
      <w:r>
        <w:rPr>
          <w:rFonts w:hint="eastAsia"/>
          <w:color w:val="000000"/>
        </w:rPr>
        <w:t>项目背景</w:t>
      </w:r>
    </w:p>
    <w:p>
      <w:pPr>
        <w:numPr>
          <w:ilvl w:val="1"/>
          <w:numId w:val="10"/>
        </w:numPr>
        <w:tabs>
          <w:tab w:val="left" w:pos="180"/>
          <w:tab w:val="clear" w:pos="780"/>
        </w:tabs>
        <w:spacing w:line="360" w:lineRule="auto"/>
        <w:ind w:left="720" w:firstLine="480"/>
        <w:rPr>
          <w:color w:val="000000"/>
        </w:rPr>
      </w:pPr>
      <w:r>
        <w:rPr>
          <w:rFonts w:hint="eastAsia"/>
          <w:color w:val="000000"/>
        </w:rPr>
        <w:t>技术方案（整体方案）</w:t>
      </w:r>
    </w:p>
    <w:p>
      <w:pPr>
        <w:numPr>
          <w:ilvl w:val="2"/>
          <w:numId w:val="10"/>
        </w:numPr>
        <w:tabs>
          <w:tab w:val="left" w:pos="180"/>
        </w:tabs>
        <w:spacing w:line="360" w:lineRule="auto"/>
        <w:ind w:firstLine="480"/>
        <w:rPr>
          <w:color w:val="000000"/>
        </w:rPr>
      </w:pPr>
      <w:r>
        <w:rPr>
          <w:rFonts w:hint="eastAsia"/>
          <w:color w:val="000000"/>
        </w:rPr>
        <w:t>应用方案</w:t>
      </w:r>
    </w:p>
    <w:p>
      <w:pPr>
        <w:numPr>
          <w:ilvl w:val="2"/>
          <w:numId w:val="10"/>
        </w:numPr>
        <w:tabs>
          <w:tab w:val="left" w:pos="180"/>
        </w:tabs>
        <w:spacing w:line="360" w:lineRule="auto"/>
        <w:ind w:firstLine="480"/>
        <w:rPr>
          <w:color w:val="000000"/>
        </w:rPr>
      </w:pPr>
      <w:r>
        <w:rPr>
          <w:rFonts w:hint="eastAsia"/>
          <w:color w:val="000000"/>
        </w:rPr>
        <w:t>实施方案（含接口开发、测试、验收、安装、质量保证、培训、进度等）</w:t>
      </w:r>
    </w:p>
    <w:p>
      <w:pPr>
        <w:numPr>
          <w:ilvl w:val="2"/>
          <w:numId w:val="10"/>
        </w:numPr>
        <w:tabs>
          <w:tab w:val="left" w:pos="180"/>
        </w:tabs>
        <w:spacing w:line="360" w:lineRule="auto"/>
        <w:ind w:firstLine="480"/>
        <w:rPr>
          <w:color w:val="000000"/>
        </w:rPr>
      </w:pPr>
      <w:r>
        <w:rPr>
          <w:rFonts w:hint="eastAsia"/>
          <w:color w:val="000000"/>
        </w:rPr>
        <w:t>服务方案（要求提供至少2家以上客户名单及应用产品名称与范围）</w:t>
      </w:r>
    </w:p>
    <w:p>
      <w:pPr>
        <w:numPr>
          <w:ilvl w:val="1"/>
          <w:numId w:val="10"/>
        </w:numPr>
        <w:tabs>
          <w:tab w:val="left" w:pos="180"/>
          <w:tab w:val="clear" w:pos="780"/>
        </w:tabs>
        <w:spacing w:line="360" w:lineRule="auto"/>
        <w:ind w:left="720" w:firstLine="480"/>
        <w:rPr>
          <w:color w:val="000000"/>
        </w:rPr>
      </w:pPr>
      <w:r>
        <w:rPr>
          <w:rFonts w:hint="eastAsia"/>
          <w:color w:val="000000"/>
        </w:rPr>
        <w:t>商务方案（单独封装）</w:t>
      </w:r>
    </w:p>
    <w:p>
      <w:pPr>
        <w:numPr>
          <w:ilvl w:val="1"/>
          <w:numId w:val="10"/>
        </w:numPr>
        <w:tabs>
          <w:tab w:val="left" w:pos="180"/>
          <w:tab w:val="clear" w:pos="780"/>
        </w:tabs>
        <w:spacing w:line="360" w:lineRule="auto"/>
        <w:ind w:left="720" w:firstLine="480"/>
        <w:rPr>
          <w:color w:val="000000"/>
        </w:rPr>
      </w:pPr>
      <w:r>
        <w:rPr>
          <w:rFonts w:hint="eastAsia"/>
          <w:color w:val="000000"/>
        </w:rPr>
        <w:t>邀标文件中要求的其他内容。</w:t>
      </w:r>
    </w:p>
    <w:p>
      <w:pPr>
        <w:spacing w:line="360" w:lineRule="auto"/>
        <w:ind w:firstLine="480"/>
      </w:pPr>
      <w:bookmarkStart w:id="86" w:name="_Toc237970777"/>
      <w:r>
        <w:rPr>
          <w:rFonts w:hint="eastAsia"/>
        </w:rPr>
        <w:t>投标人应将投标文件装订成册</w:t>
      </w:r>
      <w:bookmarkEnd w:id="86"/>
      <w:r>
        <w:rPr>
          <w:rFonts w:hint="eastAsia"/>
        </w:rPr>
        <w:t>；</w:t>
      </w:r>
    </w:p>
    <w:p>
      <w:pPr>
        <w:pStyle w:val="5"/>
        <w:spacing w:line="360" w:lineRule="auto"/>
        <w:ind w:left="480" w:firstLine="480"/>
      </w:pPr>
    </w:p>
    <w:p>
      <w:pPr>
        <w:pStyle w:val="3"/>
        <w:spacing w:line="360" w:lineRule="auto"/>
        <w:ind w:firstLine="482"/>
        <w:rPr>
          <w:b/>
          <w:color w:val="000000"/>
        </w:rPr>
      </w:pPr>
      <w:bookmarkStart w:id="87" w:name="_Toc523210749"/>
      <w:bookmarkStart w:id="88" w:name="_Toc125855750"/>
      <w:bookmarkStart w:id="89" w:name="_Toc125217124"/>
      <w:bookmarkStart w:id="90" w:name="_Toc523214612"/>
      <w:r>
        <w:rPr>
          <w:rFonts w:hint="eastAsia"/>
          <w:b/>
          <w:color w:val="000000"/>
        </w:rPr>
        <w:t>十六、投标文件格式</w:t>
      </w:r>
      <w:bookmarkEnd w:id="87"/>
      <w:bookmarkEnd w:id="88"/>
      <w:bookmarkEnd w:id="89"/>
      <w:bookmarkEnd w:id="90"/>
    </w:p>
    <w:p>
      <w:pPr>
        <w:spacing w:line="360" w:lineRule="auto"/>
        <w:ind w:firstLine="480"/>
        <w:rPr>
          <w:rFonts w:hint="eastAsia"/>
        </w:rPr>
      </w:pPr>
      <w:bookmarkStart w:id="91" w:name="_Toc237970779"/>
      <w:r>
        <w:rPr>
          <w:rFonts w:hint="eastAsia"/>
        </w:rPr>
        <w:t>投标人应按邀标文件中提供的投标文件格式填写投标书、邀标产品功能一览表、投标价格表及产品简要说明一览表，注明提供的产品名称、产品简介、服务简介、数量和价格等。</w:t>
      </w:r>
      <w:bookmarkEnd w:id="91"/>
      <w:bookmarkStart w:id="92" w:name="_Toc523214613"/>
      <w:bookmarkStart w:id="93" w:name="_Toc523210750"/>
      <w:bookmarkStart w:id="94" w:name="_Toc125217125"/>
      <w:bookmarkStart w:id="95" w:name="_Toc125855751"/>
    </w:p>
    <w:p>
      <w:pPr>
        <w:spacing w:line="360" w:lineRule="auto"/>
        <w:ind w:firstLine="480"/>
        <w:rPr>
          <w:b/>
          <w:color w:val="000000"/>
        </w:rPr>
      </w:pPr>
      <w:r>
        <w:rPr>
          <w:rFonts w:hint="eastAsia"/>
          <w:b/>
          <w:color w:val="000000"/>
        </w:rPr>
        <w:t>十七、投标报价</w:t>
      </w:r>
      <w:bookmarkEnd w:id="92"/>
      <w:bookmarkEnd w:id="93"/>
      <w:bookmarkEnd w:id="94"/>
      <w:bookmarkEnd w:id="95"/>
    </w:p>
    <w:p>
      <w:pPr>
        <w:numPr>
          <w:ilvl w:val="0"/>
          <w:numId w:val="11"/>
        </w:numPr>
        <w:spacing w:line="360" w:lineRule="auto"/>
        <w:ind w:firstLineChars="0"/>
      </w:pPr>
      <w:bookmarkStart w:id="96" w:name="_Toc237970781"/>
      <w:r>
        <w:rPr>
          <w:rFonts w:hint="eastAsia"/>
        </w:rPr>
        <w:t>报价方式</w:t>
      </w:r>
      <w:bookmarkEnd w:id="96"/>
      <w:r>
        <w:rPr>
          <w:rFonts w:hint="eastAsia"/>
        </w:rPr>
        <w:t>：</w:t>
      </w:r>
    </w:p>
    <w:p>
      <w:pPr>
        <w:numPr>
          <w:ilvl w:val="0"/>
          <w:numId w:val="12"/>
        </w:numPr>
        <w:spacing w:line="360" w:lineRule="auto"/>
        <w:ind w:firstLineChars="0"/>
      </w:pPr>
      <w:bookmarkStart w:id="97" w:name="_Toc237970782"/>
      <w:r>
        <w:rPr>
          <w:rFonts w:hint="eastAsia"/>
        </w:rPr>
        <w:t>报价分为系统报价、开发报价、实施报价、服务报价，其中系统报价需要详细列明产品模块及授权许可数；开发报价和实施报价需要按项目阶段投入工作量，投入顾问类型（如：项目经理、高级顾问、程序人员等）单价计算；服务报价需说明服务报价计算方式。</w:t>
      </w:r>
      <w:bookmarkEnd w:id="97"/>
    </w:p>
    <w:p>
      <w:pPr>
        <w:numPr>
          <w:ilvl w:val="0"/>
          <w:numId w:val="12"/>
        </w:numPr>
        <w:spacing w:line="360" w:lineRule="auto"/>
        <w:ind w:firstLineChars="0"/>
      </w:pPr>
      <w:bookmarkStart w:id="98" w:name="_Toc237970783"/>
      <w:r>
        <w:rPr>
          <w:rFonts w:hint="eastAsia"/>
        </w:rPr>
        <w:t>投标者应按照本文件第二部份需求中系统建设阶段要求，详细说明所需要产品价格、开发价格、实施价格、服务价格。</w:t>
      </w:r>
      <w:bookmarkEnd w:id="98"/>
    </w:p>
    <w:p>
      <w:pPr>
        <w:spacing w:line="360" w:lineRule="auto"/>
        <w:ind w:firstLine="480"/>
      </w:pPr>
      <w:bookmarkStart w:id="99" w:name="_Toc237970785"/>
      <w:r>
        <w:rPr>
          <w:rFonts w:hint="eastAsia"/>
        </w:rPr>
        <w:t>（3）报价需由经投标人正式书面授权的代表签署，并加盖投标人公司公章。</w:t>
      </w:r>
      <w:bookmarkEnd w:id="99"/>
    </w:p>
    <w:p>
      <w:pPr>
        <w:spacing w:line="360" w:lineRule="auto"/>
        <w:ind w:left="480" w:firstLine="0" w:firstLineChars="0"/>
      </w:pPr>
      <w:bookmarkStart w:id="100" w:name="_Toc237970786"/>
      <w:r>
        <w:rPr>
          <w:rFonts w:hint="eastAsia"/>
        </w:rPr>
        <w:t>（4）投标者应按照邀标人最后确定的需求和要求报价。</w:t>
      </w:r>
      <w:bookmarkEnd w:id="100"/>
    </w:p>
    <w:p>
      <w:pPr>
        <w:snapToGrid w:val="0"/>
        <w:spacing w:line="360" w:lineRule="auto"/>
        <w:ind w:firstLine="480"/>
        <w:contextualSpacing/>
        <w:rPr>
          <w:rFonts w:ascii="宋体" w:hAnsi="宋体"/>
          <w:sz w:val="28"/>
          <w:szCs w:val="28"/>
        </w:rPr>
      </w:pPr>
      <w:r>
        <w:rPr>
          <w:rFonts w:hint="eastAsia"/>
        </w:rPr>
        <w:t>（5）</w:t>
      </w:r>
      <w:r>
        <w:rPr>
          <w:rFonts w:hint="eastAsia" w:ascii="宋体" w:hAnsi="宋体"/>
          <w:sz w:val="28"/>
          <w:szCs w:val="28"/>
        </w:rPr>
        <w:t>报价为无税价。投标货币：人民币。结算按结算金额=无税单价*(1+税率)*采购数量）。</w:t>
      </w:r>
    </w:p>
    <w:p>
      <w:pPr>
        <w:snapToGrid w:val="0"/>
        <w:spacing w:line="360" w:lineRule="auto"/>
        <w:ind w:firstLine="560"/>
        <w:contextualSpacing/>
        <w:rPr>
          <w:rFonts w:hint="eastAsia" w:ascii="宋体" w:hAnsi="宋体"/>
          <w:sz w:val="28"/>
          <w:szCs w:val="28"/>
        </w:rPr>
      </w:pPr>
      <w:r>
        <w:rPr>
          <w:rFonts w:hint="eastAsia" w:ascii="宋体" w:hAnsi="宋体"/>
          <w:sz w:val="28"/>
          <w:szCs w:val="28"/>
        </w:rPr>
        <w:t>（6）报价包含实现项目目标所有费用。</w:t>
      </w:r>
    </w:p>
    <w:p>
      <w:pPr>
        <w:snapToGrid w:val="0"/>
        <w:spacing w:line="360" w:lineRule="auto"/>
        <w:ind w:firstLine="560"/>
        <w:contextualSpacing/>
        <w:rPr>
          <w:rFonts w:hint="default" w:ascii="宋体" w:hAnsi="宋体" w:eastAsia="宋体"/>
          <w:sz w:val="28"/>
          <w:szCs w:val="28"/>
          <w:lang w:val="en-US" w:eastAsia="zh-CN"/>
        </w:rPr>
      </w:pPr>
      <w:r>
        <w:rPr>
          <w:rFonts w:hint="eastAsia" w:ascii="宋体" w:hAnsi="宋体"/>
          <w:sz w:val="28"/>
          <w:szCs w:val="28"/>
          <w:lang w:val="en-US" w:eastAsia="zh-CN"/>
        </w:rPr>
        <w:t>(7)软件授权用户数为200个。</w:t>
      </w:r>
    </w:p>
    <w:p>
      <w:pPr>
        <w:numPr>
          <w:ilvl w:val="0"/>
          <w:numId w:val="11"/>
        </w:numPr>
        <w:spacing w:line="360" w:lineRule="auto"/>
        <w:ind w:firstLineChars="0"/>
      </w:pPr>
      <w:r>
        <w:rPr>
          <w:rFonts w:hint="eastAsia" w:ascii="宋体" w:hAnsi="宋体"/>
          <w:sz w:val="28"/>
          <w:szCs w:val="28"/>
        </w:rPr>
        <w:t xml:space="preserve"> </w:t>
      </w:r>
      <w:r>
        <w:rPr>
          <w:rFonts w:hint="eastAsia"/>
        </w:rPr>
        <w:t>填写时应注意下列要求：</w:t>
      </w:r>
    </w:p>
    <w:p>
      <w:pPr>
        <w:spacing w:line="360" w:lineRule="auto"/>
        <w:ind w:firstLine="480"/>
        <w:rPr>
          <w:color w:val="000000"/>
        </w:rPr>
      </w:pPr>
      <w:r>
        <w:rPr>
          <w:rFonts w:hint="eastAsia"/>
        </w:rPr>
        <w:t>一旦投标人中标，投标人不得以任何借口向邀标人提出增加费用要求，否则，投标人将承担因此造成的一切法律责任。</w:t>
      </w:r>
    </w:p>
    <w:p>
      <w:pPr>
        <w:pStyle w:val="3"/>
        <w:spacing w:line="360" w:lineRule="auto"/>
        <w:ind w:firstLine="482"/>
        <w:rPr>
          <w:b/>
          <w:color w:val="000000"/>
        </w:rPr>
      </w:pPr>
      <w:bookmarkStart w:id="101" w:name="_Toc125855753"/>
      <w:bookmarkStart w:id="102" w:name="_Toc125217127"/>
      <w:bookmarkStart w:id="103" w:name="_Toc523210752"/>
      <w:bookmarkStart w:id="104" w:name="_Toc523214615"/>
      <w:r>
        <w:rPr>
          <w:rFonts w:hint="eastAsia"/>
          <w:b/>
          <w:color w:val="000000"/>
        </w:rPr>
        <w:t xml:space="preserve"> 十八、投标人资格的证明文件</w:t>
      </w:r>
      <w:bookmarkEnd w:id="101"/>
      <w:bookmarkEnd w:id="102"/>
      <w:bookmarkEnd w:id="103"/>
      <w:bookmarkEnd w:id="104"/>
      <w:r>
        <w:rPr>
          <w:rFonts w:hint="eastAsia"/>
          <w:b/>
          <w:color w:val="000000"/>
        </w:rPr>
        <w:t>、基本信息</w:t>
      </w:r>
    </w:p>
    <w:p>
      <w:pPr>
        <w:spacing w:line="360" w:lineRule="auto"/>
        <w:ind w:firstLine="480"/>
      </w:pPr>
      <w:bookmarkStart w:id="105" w:name="_Toc237970790"/>
      <w:r>
        <w:rPr>
          <w:rFonts w:hint="eastAsia"/>
        </w:rPr>
        <w:t>投标人必须提供证明其有资格进行投标和有能力履行合同的文件，作为投标文件的一部分。</w:t>
      </w:r>
      <w:bookmarkEnd w:id="105"/>
    </w:p>
    <w:p>
      <w:pPr>
        <w:numPr>
          <w:ilvl w:val="0"/>
          <w:numId w:val="13"/>
        </w:numPr>
        <w:spacing w:line="360" w:lineRule="auto"/>
        <w:ind w:firstLineChars="0"/>
        <w:rPr>
          <w:color w:val="000000"/>
        </w:rPr>
      </w:pPr>
      <w:r>
        <w:rPr>
          <w:rFonts w:hint="eastAsia"/>
          <w:color w:val="000000"/>
        </w:rPr>
        <w:t>营业执照（商业登记证书）复印件；</w:t>
      </w:r>
    </w:p>
    <w:p>
      <w:pPr>
        <w:numPr>
          <w:ilvl w:val="0"/>
          <w:numId w:val="13"/>
        </w:numPr>
        <w:spacing w:line="360" w:lineRule="auto"/>
        <w:ind w:firstLineChars="0"/>
        <w:rPr>
          <w:color w:val="000000"/>
        </w:rPr>
      </w:pPr>
      <w:r>
        <w:rPr>
          <w:rFonts w:hint="eastAsia"/>
          <w:color w:val="000000"/>
        </w:rPr>
        <w:t>若投标人提供的产品及服务不是投标人生产或拥有的，则必须得到原厂商和</w:t>
      </w:r>
      <w:r>
        <w:rPr>
          <w:color w:val="000000"/>
        </w:rPr>
        <w:t>/</w:t>
      </w:r>
      <w:r>
        <w:rPr>
          <w:rFonts w:hint="eastAsia"/>
          <w:color w:val="000000"/>
        </w:rPr>
        <w:t>或技术拥有者向中华人民共和国提供该种产品的本次项目正式授权证明；</w:t>
      </w:r>
    </w:p>
    <w:p>
      <w:pPr>
        <w:numPr>
          <w:ilvl w:val="0"/>
          <w:numId w:val="13"/>
        </w:numPr>
        <w:spacing w:line="360" w:lineRule="auto"/>
        <w:ind w:firstLineChars="0"/>
        <w:rPr>
          <w:color w:val="000000"/>
        </w:rPr>
      </w:pPr>
      <w:r>
        <w:rPr>
          <w:rFonts w:hint="eastAsia"/>
          <w:color w:val="000000"/>
        </w:rPr>
        <w:t>投标人具有履行合同所需的财务、技术和生产能力；</w:t>
      </w:r>
    </w:p>
    <w:p>
      <w:pPr>
        <w:numPr>
          <w:ilvl w:val="0"/>
          <w:numId w:val="13"/>
        </w:numPr>
        <w:spacing w:line="360" w:lineRule="auto"/>
        <w:ind w:firstLineChars="0"/>
        <w:rPr>
          <w:color w:val="000000"/>
        </w:rPr>
      </w:pPr>
      <w:r>
        <w:rPr>
          <w:rFonts w:hint="eastAsia"/>
          <w:color w:val="000000"/>
        </w:rPr>
        <w:t>投标人应有能力履行邀标文件中合同条款和技术要求规定的由投标人履行的软件升级、系统优化和其它技术服务的义务；</w:t>
      </w:r>
    </w:p>
    <w:p>
      <w:pPr>
        <w:numPr>
          <w:ilvl w:val="0"/>
          <w:numId w:val="13"/>
        </w:numPr>
        <w:spacing w:line="360" w:lineRule="auto"/>
        <w:ind w:firstLineChars="0"/>
        <w:rPr>
          <w:color w:val="000000"/>
        </w:rPr>
      </w:pPr>
      <w:r>
        <w:rPr>
          <w:rFonts w:hint="eastAsia"/>
          <w:color w:val="000000"/>
        </w:rPr>
        <w:t>投标人应提供至今为止连续两年（2018年、2019年）的财务状况说明及证明资料。</w:t>
      </w:r>
    </w:p>
    <w:p>
      <w:pPr>
        <w:spacing w:line="360" w:lineRule="auto"/>
        <w:ind w:left="480" w:firstLine="0" w:firstLineChars="0"/>
      </w:pPr>
      <w:r>
        <w:rPr>
          <w:rFonts w:hint="eastAsia"/>
        </w:rPr>
        <w:t>（6）请明确叙述贵公司拟参与本项目的项目组人员及时间投入。</w:t>
      </w:r>
    </w:p>
    <w:p>
      <w:pPr>
        <w:spacing w:line="360" w:lineRule="auto"/>
        <w:ind w:firstLine="480"/>
      </w:pPr>
      <w:r>
        <w:rPr>
          <w:rFonts w:hint="eastAsia"/>
          <w:color w:val="000000"/>
        </w:rPr>
        <w:t>（7）</w:t>
      </w:r>
      <w:r>
        <w:rPr>
          <w:rFonts w:hint="eastAsia"/>
        </w:rPr>
        <w:t>本项目客户联系人：</w:t>
      </w:r>
    </w:p>
    <w:p>
      <w:pPr>
        <w:spacing w:line="360" w:lineRule="auto"/>
        <w:ind w:firstLine="480"/>
      </w:pPr>
      <w:r>
        <w:rPr>
          <w:rFonts w:hint="eastAsia"/>
        </w:rPr>
        <w:t>- 公司名</w:t>
      </w:r>
    </w:p>
    <w:p>
      <w:pPr>
        <w:spacing w:line="360" w:lineRule="auto"/>
        <w:ind w:firstLine="480"/>
      </w:pPr>
      <w:r>
        <w:rPr>
          <w:rFonts w:hint="eastAsia"/>
        </w:rPr>
        <w:t>- 联系人姓名及职位</w:t>
      </w:r>
    </w:p>
    <w:p>
      <w:pPr>
        <w:spacing w:line="360" w:lineRule="auto"/>
        <w:ind w:firstLine="480"/>
      </w:pPr>
      <w:r>
        <w:rPr>
          <w:rFonts w:hint="eastAsia"/>
        </w:rPr>
        <w:t>- 电话号码</w:t>
      </w:r>
    </w:p>
    <w:p>
      <w:pPr>
        <w:spacing w:line="360" w:lineRule="auto"/>
        <w:ind w:firstLine="480"/>
        <w:rPr>
          <w:rFonts w:eastAsia="宋体"/>
          <w:color w:val="000000"/>
          <w:szCs w:val="24"/>
          <w:u w:val="none"/>
        </w:rPr>
      </w:pPr>
      <w:r>
        <w:rPr>
          <w:rFonts w:hint="eastAsia"/>
        </w:rPr>
        <w:t>- 电子邮件地址</w:t>
      </w:r>
      <w:r>
        <w:rPr>
          <w:rFonts w:hint="eastAsia" w:eastAsia="宋体"/>
          <w:b/>
          <w:color w:val="000000"/>
        </w:rPr>
        <w:t xml:space="preserve"> </w:t>
      </w:r>
    </w:p>
    <w:p>
      <w:pPr>
        <w:pStyle w:val="3"/>
        <w:spacing w:line="360" w:lineRule="auto"/>
        <w:ind w:firstLine="482"/>
        <w:rPr>
          <w:b/>
          <w:color w:val="000000"/>
        </w:rPr>
      </w:pPr>
      <w:bookmarkStart w:id="106" w:name="_Toc523214617"/>
      <w:bookmarkStart w:id="107" w:name="_Toc523210754"/>
      <w:bookmarkStart w:id="108" w:name="_Toc125855755"/>
      <w:bookmarkStart w:id="109" w:name="_Toc125217129"/>
      <w:r>
        <w:rPr>
          <w:rFonts w:hint="eastAsia"/>
          <w:b/>
          <w:color w:val="000000"/>
        </w:rPr>
        <w:t>十</w:t>
      </w:r>
      <w:r>
        <w:rPr>
          <w:rFonts w:hint="eastAsia"/>
          <w:b/>
          <w:color w:val="000000"/>
          <w:lang w:eastAsia="zh-CN"/>
        </w:rPr>
        <w:t>九</w:t>
      </w:r>
      <w:r>
        <w:rPr>
          <w:rFonts w:hint="eastAsia"/>
          <w:b/>
          <w:color w:val="000000"/>
        </w:rPr>
        <w:t>、投标人的技术响应文件</w:t>
      </w:r>
      <w:bookmarkEnd w:id="106"/>
      <w:bookmarkEnd w:id="107"/>
      <w:bookmarkEnd w:id="108"/>
      <w:bookmarkEnd w:id="109"/>
    </w:p>
    <w:p>
      <w:pPr>
        <w:numPr>
          <w:ilvl w:val="0"/>
          <w:numId w:val="14"/>
        </w:numPr>
        <w:spacing w:line="360" w:lineRule="auto"/>
        <w:ind w:firstLineChars="0"/>
      </w:pPr>
      <w:r>
        <w:rPr>
          <w:rFonts w:hint="eastAsia"/>
        </w:rPr>
        <w:t>投标人须提交证明其供产品和服务符合邀标文件规定的技术响应文件，作为投标文件的一部分；</w:t>
      </w:r>
    </w:p>
    <w:p>
      <w:pPr>
        <w:numPr>
          <w:ilvl w:val="0"/>
          <w:numId w:val="14"/>
        </w:numPr>
        <w:spacing w:line="360" w:lineRule="auto"/>
        <w:ind w:firstLineChars="0"/>
      </w:pPr>
      <w:r>
        <w:rPr>
          <w:rFonts w:hint="eastAsia"/>
        </w:rPr>
        <w:t>上述文件可以是文字资料、图纸和数据，并须提供：</w:t>
      </w:r>
    </w:p>
    <w:p>
      <w:pPr>
        <w:numPr>
          <w:ilvl w:val="0"/>
          <w:numId w:val="15"/>
        </w:numPr>
        <w:spacing w:line="360" w:lineRule="auto"/>
        <w:ind w:firstLineChars="0"/>
        <w:rPr>
          <w:color w:val="000000"/>
        </w:rPr>
      </w:pPr>
      <w:r>
        <w:rPr>
          <w:rFonts w:hint="eastAsia"/>
        </w:rPr>
        <w:t>产品主要功能和技术性能的详细描述；</w:t>
      </w:r>
    </w:p>
    <w:p>
      <w:pPr>
        <w:pStyle w:val="3"/>
        <w:spacing w:line="360" w:lineRule="auto"/>
        <w:ind w:firstLine="482"/>
        <w:rPr>
          <w:b/>
          <w:color w:val="000000"/>
        </w:rPr>
      </w:pPr>
      <w:bookmarkStart w:id="110" w:name="_Toc523210756"/>
      <w:bookmarkStart w:id="111" w:name="_Toc523214619"/>
      <w:bookmarkStart w:id="112" w:name="_Toc125217131"/>
      <w:bookmarkStart w:id="113" w:name="_Toc125855757"/>
      <w:r>
        <w:rPr>
          <w:rFonts w:hint="eastAsia"/>
          <w:b/>
          <w:color w:val="000000"/>
        </w:rPr>
        <w:t>二十、投标文件的签署及规定</w:t>
      </w:r>
      <w:bookmarkEnd w:id="110"/>
      <w:bookmarkEnd w:id="111"/>
      <w:bookmarkEnd w:id="112"/>
      <w:bookmarkEnd w:id="113"/>
    </w:p>
    <w:p>
      <w:pPr>
        <w:numPr>
          <w:ilvl w:val="0"/>
          <w:numId w:val="16"/>
        </w:numPr>
        <w:spacing w:line="360" w:lineRule="auto"/>
        <w:ind w:firstLineChars="0"/>
      </w:pPr>
      <w:bookmarkStart w:id="114" w:name="_Toc237970797"/>
      <w:r>
        <w:rPr>
          <w:rFonts w:hint="eastAsia"/>
        </w:rPr>
        <w:t>投标人应准备</w:t>
      </w:r>
      <w:r>
        <w:rPr>
          <w:rFonts w:hint="eastAsia"/>
          <w:color w:val="000000"/>
        </w:rPr>
        <w:t>一份正本和一份副本，</w:t>
      </w:r>
      <w:r>
        <w:rPr>
          <w:rFonts w:hint="eastAsia"/>
        </w:rPr>
        <w:t>在每一份投标文件上要明确注明“正本”或“副本”字样，一旦正本和副本有差异，以正本为准。所有投标文件应逐份密封。</w:t>
      </w:r>
      <w:bookmarkEnd w:id="114"/>
    </w:p>
    <w:p>
      <w:pPr>
        <w:spacing w:line="360" w:lineRule="auto"/>
        <w:ind w:firstLine="480"/>
      </w:pPr>
      <w:bookmarkStart w:id="115" w:name="_Toc237970798"/>
      <w:r>
        <w:t>2</w:t>
      </w:r>
      <w:r>
        <w:rPr>
          <w:rFonts w:hint="eastAsia"/>
        </w:rPr>
        <w:t>、投标文件正本和副本须打印并由经正式书面授权的投标人代表签字，并加盖投标人公司公章。</w:t>
      </w:r>
      <w:bookmarkEnd w:id="115"/>
    </w:p>
    <w:p>
      <w:pPr>
        <w:spacing w:line="360" w:lineRule="auto"/>
        <w:ind w:firstLine="480"/>
        <w:rPr>
          <w:color w:val="000000"/>
        </w:rPr>
      </w:pPr>
      <w:r>
        <w:rPr>
          <w:rFonts w:hint="eastAsia"/>
          <w:color w:val="000000"/>
        </w:rPr>
        <w:t>除投标人对错处作必要修改外，投标文件中不许有加行、涂抹或改写。若有修改须由签署投标文件的人进行签字。</w:t>
      </w:r>
    </w:p>
    <w:p>
      <w:pPr>
        <w:spacing w:line="360" w:lineRule="auto"/>
        <w:ind w:firstLine="480"/>
        <w:rPr>
          <w:color w:val="000000"/>
        </w:rPr>
      </w:pPr>
      <w:r>
        <w:rPr>
          <w:rFonts w:hint="eastAsia"/>
          <w:color w:val="000000"/>
        </w:rPr>
        <w:t>电话、传真形式的投标概不接受。</w:t>
      </w:r>
    </w:p>
    <w:p>
      <w:pPr>
        <w:spacing w:after="120" w:line="360" w:lineRule="auto"/>
        <w:ind w:firstLine="480"/>
        <w:rPr>
          <w:color w:val="000000"/>
        </w:rPr>
      </w:pPr>
    </w:p>
    <w:p>
      <w:pPr>
        <w:pStyle w:val="5"/>
        <w:spacing w:line="360" w:lineRule="auto"/>
        <w:ind w:firstLine="482"/>
        <w:jc w:val="center"/>
        <w:rPr>
          <w:b/>
        </w:rPr>
      </w:pPr>
      <w:bookmarkStart w:id="116" w:name="_Toc523210757"/>
      <w:bookmarkStart w:id="117" w:name="_Toc523214620"/>
      <w:r>
        <w:rPr>
          <w:b/>
        </w:rPr>
        <w:t xml:space="preserve">D  </w:t>
      </w:r>
      <w:r>
        <w:rPr>
          <w:rFonts w:hint="eastAsia"/>
          <w:b/>
        </w:rPr>
        <w:t>投标文件的递交</w:t>
      </w:r>
      <w:bookmarkEnd w:id="116"/>
      <w:bookmarkEnd w:id="117"/>
    </w:p>
    <w:p>
      <w:pPr>
        <w:pStyle w:val="5"/>
        <w:spacing w:line="360" w:lineRule="auto"/>
        <w:ind w:firstLine="480"/>
        <w:jc w:val="center"/>
      </w:pPr>
    </w:p>
    <w:p>
      <w:pPr>
        <w:pStyle w:val="3"/>
        <w:spacing w:line="360" w:lineRule="auto"/>
        <w:ind w:firstLine="482"/>
        <w:rPr>
          <w:b/>
          <w:color w:val="000000"/>
        </w:rPr>
      </w:pPr>
      <w:bookmarkStart w:id="118" w:name="_Toc523214621"/>
      <w:bookmarkStart w:id="119" w:name="_Toc125855758"/>
      <w:bookmarkStart w:id="120" w:name="_Toc125217132"/>
      <w:bookmarkStart w:id="121" w:name="_Toc523210758"/>
      <w:r>
        <w:rPr>
          <w:rFonts w:hint="eastAsia"/>
          <w:b/>
          <w:color w:val="000000"/>
        </w:rPr>
        <w:t>二十</w:t>
      </w:r>
      <w:r>
        <w:rPr>
          <w:rFonts w:hint="eastAsia"/>
          <w:b/>
          <w:color w:val="000000"/>
          <w:lang w:eastAsia="zh-CN"/>
        </w:rPr>
        <w:t>一</w:t>
      </w:r>
      <w:r>
        <w:rPr>
          <w:rFonts w:hint="eastAsia"/>
          <w:b/>
          <w:color w:val="000000"/>
        </w:rPr>
        <w:t>、投标文件的密封和标记</w:t>
      </w:r>
      <w:bookmarkEnd w:id="118"/>
      <w:bookmarkEnd w:id="119"/>
      <w:bookmarkEnd w:id="120"/>
      <w:bookmarkEnd w:id="121"/>
    </w:p>
    <w:p>
      <w:pPr>
        <w:spacing w:line="360" w:lineRule="auto"/>
        <w:ind w:firstLine="480"/>
      </w:pPr>
      <w:bookmarkStart w:id="122" w:name="_Toc237970801"/>
      <w:r>
        <w:t>1</w:t>
      </w:r>
      <w:r>
        <w:rPr>
          <w:rFonts w:hint="eastAsia"/>
        </w:rPr>
        <w:t>、投标人应将投标人文件正本和副本分别用信封密封，并在封签处加盖投标人公章（或合同专用章）。</w:t>
      </w:r>
      <w:bookmarkEnd w:id="122"/>
    </w:p>
    <w:p>
      <w:pPr>
        <w:spacing w:line="360" w:lineRule="auto"/>
        <w:ind w:firstLine="480"/>
      </w:pPr>
      <w:bookmarkStart w:id="123" w:name="_Toc237970802"/>
      <w:r>
        <w:t>2</w:t>
      </w:r>
      <w:r>
        <w:rPr>
          <w:rFonts w:hint="eastAsia"/>
        </w:rPr>
        <w:t>、</w:t>
      </w:r>
      <w:r>
        <w:t>投标文件信袋封条上应写明：</w:t>
      </w:r>
      <w:bookmarkEnd w:id="123"/>
    </w:p>
    <w:p>
      <w:pPr>
        <w:pStyle w:val="17"/>
        <w:numPr>
          <w:ilvl w:val="0"/>
          <w:numId w:val="0"/>
        </w:numPr>
        <w:ind w:firstLine="480"/>
        <w:rPr>
          <w:rFonts w:ascii="Times New Roman" w:eastAsia="宋体"/>
          <w:color w:val="000000"/>
          <w:szCs w:val="24"/>
        </w:rPr>
      </w:pPr>
      <w:r>
        <w:rPr>
          <w:rFonts w:ascii="Times New Roman" w:eastAsia="宋体"/>
          <w:color w:val="000000"/>
          <w:szCs w:val="24"/>
        </w:rPr>
        <w:t>（</w:t>
      </w:r>
      <w:r>
        <w:rPr>
          <w:rFonts w:hint="eastAsia" w:ascii="Times New Roman" w:eastAsia="宋体"/>
          <w:color w:val="000000"/>
          <w:szCs w:val="24"/>
        </w:rPr>
        <w:t>1</w:t>
      </w:r>
      <w:r>
        <w:rPr>
          <w:rFonts w:ascii="Times New Roman" w:eastAsia="宋体"/>
          <w:color w:val="000000"/>
          <w:szCs w:val="24"/>
        </w:rPr>
        <w:t>） 邀标项目名称；</w:t>
      </w:r>
    </w:p>
    <w:p>
      <w:pPr>
        <w:pStyle w:val="17"/>
        <w:numPr>
          <w:ilvl w:val="0"/>
          <w:numId w:val="0"/>
        </w:numPr>
        <w:ind w:firstLine="480"/>
        <w:rPr>
          <w:rFonts w:ascii="Times New Roman" w:eastAsia="宋体"/>
          <w:color w:val="000000"/>
          <w:szCs w:val="24"/>
        </w:rPr>
      </w:pPr>
      <w:r>
        <w:rPr>
          <w:rFonts w:ascii="Times New Roman" w:eastAsia="宋体"/>
          <w:color w:val="000000"/>
          <w:szCs w:val="24"/>
        </w:rPr>
        <w:t>（</w:t>
      </w:r>
      <w:r>
        <w:rPr>
          <w:rFonts w:hint="eastAsia" w:ascii="Times New Roman" w:eastAsia="宋体"/>
          <w:color w:val="000000"/>
          <w:szCs w:val="24"/>
        </w:rPr>
        <w:t>2</w:t>
      </w:r>
      <w:r>
        <w:rPr>
          <w:rFonts w:ascii="Times New Roman" w:eastAsia="宋体"/>
          <w:color w:val="000000"/>
          <w:szCs w:val="24"/>
        </w:rPr>
        <w:t>） 投标</w:t>
      </w:r>
      <w:r>
        <w:rPr>
          <w:rFonts w:hint="eastAsia" w:ascii="Times New Roman" w:eastAsia="宋体"/>
          <w:color w:val="000000"/>
          <w:szCs w:val="24"/>
        </w:rPr>
        <w:t>人</w:t>
      </w:r>
      <w:r>
        <w:rPr>
          <w:rFonts w:ascii="Times New Roman" w:eastAsia="宋体"/>
          <w:color w:val="000000"/>
          <w:szCs w:val="24"/>
        </w:rPr>
        <w:t>名称和地址；</w:t>
      </w:r>
    </w:p>
    <w:p>
      <w:pPr>
        <w:spacing w:line="360" w:lineRule="auto"/>
        <w:ind w:firstLine="480"/>
        <w:rPr>
          <w:color w:val="000000"/>
        </w:rPr>
      </w:pPr>
      <w:bookmarkStart w:id="124" w:name="_Toc237970803"/>
      <w:r>
        <w:rPr>
          <w:rFonts w:hint="eastAsia"/>
        </w:rPr>
        <w:t>3、如投标文件由专人送交，投标人应将投标文件进行密封和明确标记后，按投标邀请注明的地址及截至时间送达邀标人。</w:t>
      </w:r>
      <w:bookmarkEnd w:id="124"/>
    </w:p>
    <w:p>
      <w:pPr>
        <w:pStyle w:val="3"/>
        <w:spacing w:line="360" w:lineRule="auto"/>
        <w:ind w:firstLine="482"/>
        <w:rPr>
          <w:b/>
          <w:color w:val="000000"/>
        </w:rPr>
      </w:pPr>
      <w:bookmarkStart w:id="125" w:name="_Toc523214622"/>
      <w:bookmarkStart w:id="126" w:name="_Toc523210759"/>
      <w:bookmarkStart w:id="127" w:name="_Toc125855759"/>
      <w:bookmarkStart w:id="128" w:name="_Toc125217133"/>
      <w:r>
        <w:rPr>
          <w:rFonts w:hint="eastAsia"/>
          <w:b/>
          <w:color w:val="000000"/>
        </w:rPr>
        <w:t>二十</w:t>
      </w:r>
      <w:r>
        <w:rPr>
          <w:rFonts w:hint="eastAsia"/>
          <w:b/>
          <w:color w:val="000000"/>
          <w:lang w:eastAsia="zh-CN"/>
        </w:rPr>
        <w:t>二</w:t>
      </w:r>
      <w:r>
        <w:rPr>
          <w:rFonts w:hint="eastAsia"/>
          <w:b/>
          <w:color w:val="000000"/>
        </w:rPr>
        <w:t>、递交投标文件的截止时间</w:t>
      </w:r>
      <w:bookmarkEnd w:id="125"/>
      <w:bookmarkEnd w:id="126"/>
      <w:bookmarkEnd w:id="127"/>
      <w:bookmarkEnd w:id="128"/>
    </w:p>
    <w:p>
      <w:pPr>
        <w:spacing w:line="360" w:lineRule="auto"/>
        <w:ind w:firstLine="480"/>
      </w:pPr>
      <w:bookmarkStart w:id="129" w:name="_Toc237970805"/>
      <w:r>
        <w:t>1</w:t>
      </w:r>
      <w:r>
        <w:rPr>
          <w:rFonts w:hint="eastAsia"/>
        </w:rPr>
        <w:t>、所有投标文件需由投标方指派专人按本文件中规定的时间和地点送达邀标人。</w:t>
      </w:r>
      <w:bookmarkEnd w:id="129"/>
    </w:p>
    <w:p>
      <w:pPr>
        <w:spacing w:line="360" w:lineRule="auto"/>
        <w:ind w:firstLine="480"/>
      </w:pPr>
      <w:bookmarkStart w:id="130" w:name="_Toc237970806"/>
      <w:r>
        <w:t>2</w:t>
      </w:r>
      <w:r>
        <w:rPr>
          <w:rFonts w:hint="eastAsia"/>
        </w:rPr>
        <w:t>、出现邀标文件第八条中修改推迟投标截止日期的情况时，则按邀标人的修改通知规定的时间送达邀标人。</w:t>
      </w:r>
      <w:bookmarkEnd w:id="130"/>
    </w:p>
    <w:p>
      <w:pPr>
        <w:snapToGrid w:val="0"/>
        <w:spacing w:line="360" w:lineRule="auto"/>
        <w:ind w:firstLine="480"/>
        <w:contextualSpacing/>
        <w:rPr>
          <w:color w:val="000000"/>
        </w:rPr>
      </w:pPr>
      <w:r>
        <w:rPr>
          <w:rFonts w:hint="eastAsia"/>
        </w:rPr>
        <w:t>3、投标方递交标书</w:t>
      </w:r>
      <w:r>
        <w:t>同时</w:t>
      </w:r>
      <w:r>
        <w:rPr>
          <w:rFonts w:hint="eastAsia"/>
        </w:rPr>
        <w:t>需缴纳</w:t>
      </w:r>
      <w:r>
        <w:t>投标</w:t>
      </w:r>
      <w:r>
        <w:rPr>
          <w:rFonts w:hint="eastAsia"/>
        </w:rPr>
        <w:t>保证金5000元，开标</w:t>
      </w:r>
      <w:r>
        <w:t>结束后</w:t>
      </w:r>
      <w:r>
        <w:rPr>
          <w:rFonts w:hint="eastAsia"/>
        </w:rPr>
        <w:t>10个</w:t>
      </w:r>
      <w:r>
        <w:t>工作日内</w:t>
      </w:r>
      <w:r>
        <w:rPr>
          <w:rFonts w:hint="eastAsia"/>
        </w:rPr>
        <w:t>退还</w:t>
      </w:r>
      <w:r>
        <w:t>投标方</w:t>
      </w:r>
      <w:r>
        <w:rPr>
          <w:rFonts w:hint="eastAsia"/>
        </w:rPr>
        <w:t>。</w:t>
      </w:r>
      <w:r>
        <w:rPr>
          <w:rFonts w:hint="eastAsia" w:ascii="宋体" w:hAnsi="宋体"/>
          <w:sz w:val="28"/>
          <w:szCs w:val="28"/>
        </w:rPr>
        <w:t>投标保证金形式：电汇、现金；投标有效期:15天。投标保证金账号：</w:t>
      </w:r>
      <w:r>
        <w:rPr>
          <w:rFonts w:hint="eastAsia"/>
          <w:b/>
          <w:sz w:val="28"/>
          <w:szCs w:val="28"/>
        </w:rPr>
        <w:t>江苏银行扬州联谊支行   90090188000022350</w:t>
      </w:r>
    </w:p>
    <w:p>
      <w:pPr>
        <w:pStyle w:val="3"/>
        <w:spacing w:line="360" w:lineRule="auto"/>
        <w:ind w:firstLine="482"/>
        <w:rPr>
          <w:b/>
          <w:color w:val="000000"/>
        </w:rPr>
      </w:pPr>
      <w:bookmarkStart w:id="131" w:name="_Toc523210760"/>
      <w:bookmarkStart w:id="132" w:name="_Toc125855760"/>
      <w:bookmarkStart w:id="133" w:name="_Toc125217134"/>
      <w:bookmarkStart w:id="134" w:name="_Toc523214623"/>
      <w:r>
        <w:rPr>
          <w:rFonts w:hint="eastAsia"/>
          <w:b/>
          <w:color w:val="000000"/>
        </w:rPr>
        <w:t>二十</w:t>
      </w:r>
      <w:r>
        <w:rPr>
          <w:rFonts w:hint="eastAsia"/>
          <w:b/>
          <w:color w:val="000000"/>
          <w:lang w:eastAsia="zh-CN"/>
        </w:rPr>
        <w:t>三</w:t>
      </w:r>
      <w:r>
        <w:rPr>
          <w:rFonts w:hint="eastAsia"/>
          <w:b/>
          <w:color w:val="000000"/>
        </w:rPr>
        <w:t>、迟交的投标文件</w:t>
      </w:r>
      <w:bookmarkEnd w:id="131"/>
      <w:bookmarkEnd w:id="132"/>
      <w:bookmarkEnd w:id="133"/>
      <w:bookmarkEnd w:id="134"/>
    </w:p>
    <w:p>
      <w:pPr>
        <w:spacing w:line="360" w:lineRule="auto"/>
        <w:ind w:firstLine="480"/>
      </w:pPr>
      <w:r>
        <w:rPr>
          <w:rFonts w:hint="eastAsia"/>
        </w:rPr>
        <w:t>邀标人将拒绝在投标截止时间后收到的任何投标文件。</w:t>
      </w:r>
    </w:p>
    <w:p>
      <w:pPr>
        <w:pStyle w:val="3"/>
        <w:spacing w:line="360" w:lineRule="auto"/>
        <w:ind w:firstLine="482"/>
        <w:rPr>
          <w:b/>
          <w:color w:val="000000"/>
        </w:rPr>
      </w:pPr>
      <w:bookmarkStart w:id="135" w:name="_Toc523210761"/>
      <w:bookmarkStart w:id="136" w:name="_Toc523214624"/>
      <w:bookmarkStart w:id="137" w:name="_Toc125855761"/>
      <w:bookmarkStart w:id="138" w:name="_Toc125217135"/>
      <w:r>
        <w:rPr>
          <w:rFonts w:hint="eastAsia"/>
          <w:b/>
          <w:color w:val="000000"/>
        </w:rPr>
        <w:t>二十</w:t>
      </w:r>
      <w:r>
        <w:rPr>
          <w:rFonts w:hint="eastAsia"/>
          <w:b/>
          <w:color w:val="000000"/>
          <w:lang w:eastAsia="zh-CN"/>
        </w:rPr>
        <w:t>四</w:t>
      </w:r>
      <w:r>
        <w:rPr>
          <w:rFonts w:hint="eastAsia"/>
          <w:b/>
          <w:color w:val="000000"/>
        </w:rPr>
        <w:t>、投标文件的修改和撤消</w:t>
      </w:r>
      <w:bookmarkEnd w:id="135"/>
      <w:bookmarkEnd w:id="136"/>
      <w:bookmarkEnd w:id="137"/>
      <w:bookmarkEnd w:id="138"/>
    </w:p>
    <w:p>
      <w:pPr>
        <w:spacing w:line="360" w:lineRule="auto"/>
        <w:ind w:firstLine="480"/>
      </w:pPr>
      <w:bookmarkStart w:id="139" w:name="_Toc237970809"/>
      <w:r>
        <w:t>1</w:t>
      </w:r>
      <w:r>
        <w:rPr>
          <w:rFonts w:hint="eastAsia"/>
        </w:rPr>
        <w:t>、投标人在提交投标文件后经邀标人同意可对其投标文件进行修改或撤消，但邀标人须在投标截止时间之前收到该修改或撤销的书面通知，该通知须有经正式书面授权的投标人代表签字并加盖投标人公章。</w:t>
      </w:r>
      <w:bookmarkEnd w:id="139"/>
    </w:p>
    <w:p>
      <w:pPr>
        <w:spacing w:line="360" w:lineRule="auto"/>
        <w:ind w:firstLine="480"/>
      </w:pPr>
      <w:bookmarkStart w:id="140" w:name="_Toc237970810"/>
      <w:r>
        <w:t>2</w:t>
      </w:r>
      <w:r>
        <w:rPr>
          <w:rFonts w:hint="eastAsia"/>
        </w:rPr>
        <w:t>、投标人对投标文件修改的书面材料或撤销的通知应按投标文件的要求进行编写、密封、标注和递送，并在密封信封上注明“修改投标文件”或“撤销投标”字样。</w:t>
      </w:r>
      <w:bookmarkEnd w:id="140"/>
    </w:p>
    <w:p>
      <w:pPr>
        <w:spacing w:line="360" w:lineRule="auto"/>
        <w:ind w:firstLine="480"/>
      </w:pPr>
      <w:bookmarkStart w:id="141" w:name="_Toc237970811"/>
      <w:r>
        <w:t>3</w:t>
      </w:r>
      <w:r>
        <w:rPr>
          <w:rFonts w:hint="eastAsia"/>
        </w:rPr>
        <w:t>、投标截止时间以后不得修改投标文件。</w:t>
      </w:r>
      <w:bookmarkEnd w:id="141"/>
    </w:p>
    <w:p>
      <w:pPr>
        <w:spacing w:line="360" w:lineRule="auto"/>
        <w:ind w:firstLine="480"/>
        <w:rPr>
          <w:color w:val="000000"/>
        </w:rPr>
      </w:pPr>
      <w:bookmarkStart w:id="142" w:name="_Toc237970812"/>
      <w:r>
        <w:t>4</w:t>
      </w:r>
      <w:r>
        <w:rPr>
          <w:rFonts w:hint="eastAsia"/>
        </w:rPr>
        <w:t>、投标人不得在开标时间起至投标文件有效期期满前撤销投标文件，否则邀标人将按照有关规定取消该投标人参与邀标人举办后期的所有招投标活动的资格。</w:t>
      </w:r>
      <w:bookmarkEnd w:id="142"/>
    </w:p>
    <w:p>
      <w:pPr>
        <w:pStyle w:val="5"/>
        <w:spacing w:line="360" w:lineRule="auto"/>
        <w:ind w:firstLine="482"/>
        <w:jc w:val="center"/>
        <w:rPr>
          <w:b/>
        </w:rPr>
      </w:pPr>
      <w:bookmarkStart w:id="143" w:name="_Toc523210762"/>
      <w:bookmarkStart w:id="144" w:name="_Toc523214625"/>
      <w:r>
        <w:rPr>
          <w:b/>
        </w:rPr>
        <w:t xml:space="preserve">E  </w:t>
      </w:r>
      <w:r>
        <w:rPr>
          <w:rFonts w:hint="eastAsia"/>
          <w:b/>
        </w:rPr>
        <w:t>开标和评标</w:t>
      </w:r>
      <w:bookmarkEnd w:id="143"/>
      <w:bookmarkEnd w:id="144"/>
    </w:p>
    <w:p>
      <w:pPr>
        <w:pStyle w:val="3"/>
        <w:spacing w:line="360" w:lineRule="auto"/>
        <w:ind w:firstLine="482"/>
        <w:rPr>
          <w:b/>
          <w:color w:val="000000"/>
        </w:rPr>
      </w:pPr>
      <w:bookmarkStart w:id="145" w:name="_Toc125217136"/>
      <w:bookmarkStart w:id="146" w:name="_Toc523210763"/>
      <w:bookmarkStart w:id="147" w:name="_Toc523214626"/>
      <w:bookmarkStart w:id="148" w:name="_Toc125855762"/>
      <w:r>
        <w:rPr>
          <w:rFonts w:hint="eastAsia"/>
          <w:b/>
          <w:color w:val="000000"/>
        </w:rPr>
        <w:t>二十</w:t>
      </w:r>
      <w:r>
        <w:rPr>
          <w:rFonts w:hint="eastAsia"/>
          <w:b/>
          <w:color w:val="000000"/>
          <w:lang w:eastAsia="zh-CN"/>
        </w:rPr>
        <w:t>五</w:t>
      </w:r>
      <w:r>
        <w:rPr>
          <w:rFonts w:hint="eastAsia"/>
          <w:b/>
          <w:color w:val="000000"/>
        </w:rPr>
        <w:t>、开标</w:t>
      </w:r>
      <w:bookmarkEnd w:id="145"/>
      <w:bookmarkEnd w:id="146"/>
      <w:bookmarkEnd w:id="147"/>
      <w:bookmarkEnd w:id="148"/>
    </w:p>
    <w:p>
      <w:pPr>
        <w:numPr>
          <w:ilvl w:val="0"/>
          <w:numId w:val="17"/>
        </w:numPr>
        <w:spacing w:line="360" w:lineRule="auto"/>
        <w:ind w:firstLineChars="0"/>
        <w:rPr>
          <w:rFonts w:ascii="宋体" w:hAnsi="宋体"/>
        </w:rPr>
      </w:pPr>
      <w:bookmarkStart w:id="149" w:name="_Toc237970815"/>
      <w:r>
        <w:rPr>
          <w:rFonts w:hint="eastAsia"/>
        </w:rPr>
        <w:t>开标地点：</w:t>
      </w:r>
      <w:bookmarkEnd w:id="149"/>
      <w:r>
        <w:rPr>
          <w:rFonts w:hint="eastAsia" w:ascii="宋体" w:hAnsi="宋体" w:cs="Arial"/>
          <w:color w:val="000000"/>
        </w:rPr>
        <w:t>江苏太极实业新材料有限公司</w:t>
      </w:r>
    </w:p>
    <w:p>
      <w:pPr>
        <w:numPr>
          <w:ilvl w:val="0"/>
          <w:numId w:val="17"/>
        </w:numPr>
        <w:spacing w:line="360" w:lineRule="auto"/>
        <w:ind w:firstLineChars="0"/>
      </w:pPr>
      <w:bookmarkStart w:id="150" w:name="_Toc237970816"/>
      <w:r>
        <w:rPr>
          <w:rFonts w:hint="eastAsia"/>
        </w:rPr>
        <w:t>开标时，查验投标文件密封情况，确认无误后拆封，进行评标工作，并由江苏太极招标工作小组成员签字。</w:t>
      </w:r>
      <w:bookmarkEnd w:id="150"/>
    </w:p>
    <w:p>
      <w:pPr>
        <w:pStyle w:val="3"/>
        <w:spacing w:line="360" w:lineRule="auto"/>
        <w:ind w:firstLine="482"/>
        <w:rPr>
          <w:b/>
          <w:color w:val="000000"/>
        </w:rPr>
      </w:pPr>
      <w:bookmarkStart w:id="151" w:name="_Toc125855764"/>
      <w:bookmarkStart w:id="152" w:name="_Toc523210765"/>
      <w:bookmarkStart w:id="153" w:name="_Toc125217138"/>
      <w:bookmarkStart w:id="154" w:name="_Toc523214628"/>
      <w:r>
        <w:rPr>
          <w:rFonts w:hint="eastAsia"/>
          <w:b/>
          <w:color w:val="000000"/>
        </w:rPr>
        <w:t>二十</w:t>
      </w:r>
      <w:r>
        <w:rPr>
          <w:rFonts w:hint="eastAsia"/>
          <w:b/>
          <w:color w:val="000000"/>
          <w:lang w:eastAsia="zh-CN"/>
        </w:rPr>
        <w:t>六</w:t>
      </w:r>
      <w:r>
        <w:rPr>
          <w:rFonts w:hint="eastAsia"/>
          <w:b/>
          <w:color w:val="000000"/>
        </w:rPr>
        <w:t>、对投标文件的审查和响应性的确定</w:t>
      </w:r>
      <w:bookmarkEnd w:id="151"/>
      <w:bookmarkEnd w:id="152"/>
      <w:bookmarkEnd w:id="153"/>
      <w:bookmarkEnd w:id="154"/>
    </w:p>
    <w:p>
      <w:pPr>
        <w:spacing w:line="360" w:lineRule="auto"/>
        <w:ind w:firstLine="480"/>
      </w:pPr>
      <w:bookmarkStart w:id="155" w:name="_Toc237970820"/>
      <w:r>
        <w:t>1</w:t>
      </w:r>
      <w:r>
        <w:rPr>
          <w:rFonts w:hint="eastAsia"/>
        </w:rPr>
        <w:t>、开标后，邀标人将组织审查投标文件是否完整，是否有计算错误，文件是否恰当地签署。如果单价之和与总价有出入，以单价之和为准；若数字大写表示的数据与数字小写表示的有差别，则以数字大写表示的数据为准。若投标人拒绝接受上述修正，其投标将被拒绝。</w:t>
      </w:r>
      <w:bookmarkEnd w:id="155"/>
    </w:p>
    <w:p>
      <w:pPr>
        <w:spacing w:line="360" w:lineRule="auto"/>
        <w:ind w:firstLine="480"/>
      </w:pPr>
      <w:bookmarkStart w:id="156" w:name="_Toc237970821"/>
      <w:r>
        <w:t>2</w:t>
      </w:r>
      <w:r>
        <w:rPr>
          <w:rFonts w:hint="eastAsia"/>
        </w:rPr>
        <w:t>、在对投标文件进行详细评估之前，邀标人将依据投标人提供的资格证明文件审查投标人的财务、技术和后续能力。如果确定投标人无资格履行合同，其投标将被拒绝。</w:t>
      </w:r>
      <w:bookmarkEnd w:id="156"/>
    </w:p>
    <w:p>
      <w:pPr>
        <w:spacing w:line="360" w:lineRule="auto"/>
        <w:ind w:firstLine="480"/>
      </w:pPr>
      <w:bookmarkStart w:id="157" w:name="_Toc237970822"/>
      <w:r>
        <w:t>3</w:t>
      </w:r>
      <w:r>
        <w:rPr>
          <w:rFonts w:hint="eastAsia"/>
        </w:rPr>
        <w:t>、邀标人将确定每一投标是否对邀标文件的要求做出了实质性的响应，并且没有重大偏离。实质性响应的投标是指投标符合邀标文件的所有条款、条件和规定且没有重大偏离或保留。重大偏离或保留系指影响到邀标文件规定的供货范围、质量和性能，或设置了限制邀标人权力或投标人的义务的规定，而纠正这些偏离将影响到其它提交实质性响应投标的投标人的公平竞争地位。</w:t>
      </w:r>
      <w:bookmarkEnd w:id="157"/>
    </w:p>
    <w:p>
      <w:pPr>
        <w:spacing w:line="360" w:lineRule="auto"/>
        <w:ind w:firstLine="480"/>
        <w:rPr>
          <w:color w:val="000000"/>
        </w:rPr>
      </w:pPr>
      <w:r>
        <w:rPr>
          <w:color w:val="000000"/>
        </w:rPr>
        <w:t>4</w:t>
      </w:r>
      <w:r>
        <w:rPr>
          <w:rFonts w:hint="eastAsia"/>
          <w:color w:val="000000"/>
        </w:rPr>
        <w:t>、邀标人判断投标文件的响应性仅基于投标文件本身而不靠外部证据。</w:t>
      </w:r>
    </w:p>
    <w:p>
      <w:pPr>
        <w:spacing w:line="360" w:lineRule="auto"/>
        <w:ind w:firstLine="480"/>
      </w:pPr>
      <w:bookmarkStart w:id="158" w:name="_Toc237970823"/>
      <w:r>
        <w:t>5</w:t>
      </w:r>
      <w:r>
        <w:rPr>
          <w:rFonts w:hint="eastAsia"/>
        </w:rPr>
        <w:t>、邀标人将拒绝被确定为非实质性响应的投标，开标后，投标人不能通过修正或撤销不符之处而使其投标成为实质性响应的投标。</w:t>
      </w:r>
      <w:bookmarkEnd w:id="158"/>
    </w:p>
    <w:p>
      <w:pPr>
        <w:spacing w:line="360" w:lineRule="auto"/>
        <w:ind w:firstLine="480"/>
      </w:pPr>
      <w:bookmarkStart w:id="159" w:name="_Toc237970824"/>
      <w:r>
        <w:t>6</w:t>
      </w:r>
      <w:r>
        <w:rPr>
          <w:rFonts w:hint="eastAsia"/>
        </w:rPr>
        <w:t>、邀标人将不允许修改投标中不构成非实质性响应及重大偏离的微小的、非正规、不一致或不规则的地方。</w:t>
      </w:r>
      <w:bookmarkEnd w:id="159"/>
    </w:p>
    <w:p>
      <w:pPr>
        <w:spacing w:line="360" w:lineRule="auto"/>
        <w:ind w:firstLine="480"/>
      </w:pPr>
      <w:r>
        <w:rPr>
          <w:rFonts w:hint="eastAsia"/>
        </w:rPr>
        <w:t>7、具体评审内容及评分标准</w:t>
      </w:r>
    </w:p>
    <w:p>
      <w:pPr>
        <w:widowControl/>
        <w:spacing w:line="360" w:lineRule="auto"/>
        <w:ind w:firstLine="0" w:firstLineChars="0"/>
        <w:jc w:val="center"/>
        <w:rPr>
          <w:rFonts w:ascii="宋体" w:hAnsi="宋体" w:cs="宋体"/>
          <w:color w:val="000000"/>
          <w:kern w:val="0"/>
          <w:sz w:val="20"/>
          <w:szCs w:val="20"/>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88"/>
        <w:gridCol w:w="520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总项</w:t>
            </w:r>
          </w:p>
        </w:tc>
        <w:tc>
          <w:tcPr>
            <w:tcW w:w="988" w:type="dxa"/>
          </w:tcPr>
          <w:p>
            <w:pPr>
              <w:widowControl/>
              <w:spacing w:line="360" w:lineRule="auto"/>
              <w:ind w:firstLine="0" w:firstLineChars="0"/>
              <w:rPr>
                <w:rFonts w:ascii="宋体" w:hAnsi="宋体" w:cs="宋体"/>
                <w:color w:val="000000"/>
                <w:kern w:val="0"/>
                <w:sz w:val="20"/>
                <w:szCs w:val="20"/>
              </w:rPr>
            </w:pPr>
            <w:r>
              <w:rPr>
                <w:rFonts w:hint="eastAsia" w:ascii="宋体" w:hAnsi="宋体" w:cs="宋体"/>
                <w:color w:val="000000"/>
                <w:kern w:val="0"/>
                <w:sz w:val="20"/>
                <w:szCs w:val="20"/>
              </w:rPr>
              <w:t>分项</w:t>
            </w:r>
          </w:p>
        </w:tc>
        <w:tc>
          <w:tcPr>
            <w:tcW w:w="6792" w:type="dxa"/>
            <w:gridSpan w:val="2"/>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商务价格</w:t>
            </w:r>
          </w:p>
        </w:tc>
        <w:tc>
          <w:tcPr>
            <w:tcW w:w="988" w:type="dxa"/>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总体价格                         33分</w:t>
            </w:r>
          </w:p>
        </w:tc>
        <w:tc>
          <w:tcPr>
            <w:tcW w:w="6792" w:type="dxa"/>
            <w:gridSpan w:val="2"/>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满足招标文件要求且投标价格的最低价为评标基准价，最低价其价格分为满分。其他投标人的价格分统一按照下列公式计算： 投标报价得分=每高出最低价</w:t>
            </w:r>
            <w:r>
              <w:rPr>
                <w:rFonts w:hint="eastAsia" w:ascii="宋体" w:hAnsi="宋体" w:cs="宋体"/>
                <w:color w:val="000000"/>
                <w:kern w:val="0"/>
                <w:sz w:val="20"/>
                <w:szCs w:val="20"/>
                <w:lang w:val="en-US" w:eastAsia="zh-CN"/>
              </w:rPr>
              <w:t>0.5</w:t>
            </w:r>
            <w:r>
              <w:rPr>
                <w:rFonts w:hint="eastAsia" w:ascii="宋体" w:hAnsi="宋体" w:cs="宋体"/>
                <w:color w:val="000000"/>
                <w:kern w:val="0"/>
                <w:sz w:val="20"/>
                <w:szCs w:val="20"/>
              </w:rPr>
              <w:t>万扣</w:t>
            </w:r>
            <w:r>
              <w:rPr>
                <w:rFonts w:hint="eastAsia" w:ascii="宋体" w:hAnsi="宋体" w:cs="宋体"/>
                <w:color w:val="000000"/>
                <w:kern w:val="0"/>
                <w:sz w:val="20"/>
                <w:szCs w:val="20"/>
                <w:lang w:val="en-US" w:eastAsia="zh-CN"/>
              </w:rPr>
              <w:t>0.5</w:t>
            </w:r>
            <w:bookmarkStart w:id="335" w:name="_GoBack"/>
            <w:bookmarkEnd w:id="335"/>
            <w:r>
              <w:rPr>
                <w:rFonts w:hint="eastAsia" w:ascii="宋体" w:hAnsi="宋体" w:cs="宋体"/>
                <w:color w:val="000000"/>
                <w:kern w:val="0"/>
                <w:sz w:val="20"/>
                <w:szCs w:val="20"/>
              </w:rPr>
              <w:t>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7780" w:type="dxa"/>
            <w:gridSpan w:val="3"/>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小计（33分）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 xml:space="preserve"> 经营业绩</w:t>
            </w:r>
          </w:p>
        </w:tc>
        <w:tc>
          <w:tcPr>
            <w:tcW w:w="988" w:type="dxa"/>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 xml:space="preserve"> 经营业绩 6分 </w:t>
            </w:r>
          </w:p>
        </w:tc>
        <w:tc>
          <w:tcPr>
            <w:tcW w:w="6792" w:type="dxa"/>
            <w:gridSpan w:val="2"/>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1、提供至少2家扬州地区典型客户的合同或发票复印件 并加盖公章  每一家3分，最高6分，无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产品技术与方案</w:t>
            </w:r>
          </w:p>
        </w:tc>
        <w:tc>
          <w:tcPr>
            <w:tcW w:w="988" w:type="dxa"/>
            <w:vMerge w:val="restart"/>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办公协同</w:t>
            </w: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是否支持SQL、ORACLE数据库及windows 、UNIX、LINUX操作系统？</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软件界面友好，易理解操作，运行稳定</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vAlign w:val="center"/>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是否支持SSL安全技术、支持服务器集群应用、严谨的权限设置？</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 xml:space="preserve">工作流应用：1、图形化流程设计，支持按角色、岗位、人员、职务设置节点及权限  2、支持一键式（因组织、岗位人员变动）流程调整程  3、支持图形化的方式对协同流程进行全程跟踪、催办、查办的处理并支持正文修改痕迹保留 </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lang w:eastAsia="zh-CN"/>
              </w:rPr>
              <w:t>符合一项得</w:t>
            </w:r>
            <w:r>
              <w:rPr>
                <w:rFonts w:hint="eastAsia" w:ascii="宋体" w:hAnsi="宋体" w:cs="宋体"/>
                <w:color w:val="000000"/>
                <w:kern w:val="0"/>
                <w:sz w:val="20"/>
                <w:szCs w:val="20"/>
              </w:rPr>
              <w:t>1分，不符合0分</w:t>
            </w:r>
            <w:r>
              <w:rPr>
                <w:rFonts w:hint="eastAsia" w:ascii="宋体" w:hAnsi="宋体" w:cs="宋体"/>
                <w:color w:val="000000"/>
                <w:kern w:val="0"/>
                <w:sz w:val="20"/>
                <w:szCs w:val="20"/>
                <w:lang w:eastAsia="zh-CN"/>
              </w:rPr>
              <w:t>最高</w:t>
            </w:r>
            <w:r>
              <w:rPr>
                <w:rFonts w:hint="eastAsia" w:ascii="宋体" w:hAnsi="宋体" w:cs="宋体"/>
                <w:color w:val="000000"/>
                <w:kern w:val="0"/>
                <w:sz w:val="20"/>
                <w:szCs w:val="2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公文管理：支持公文流程的自建及模板定义，自动生成公文文号，支持公文节点权限的自定义，支持文档清稿、痕迹、套红封发，有文件已阅读标记</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表单应用：支持自定义制作表单（快速EXCEL表格导入设计单据），支持表单绑定流程，支持表单统计数据的穿透查询，支持无流程表单。</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知识管理：支持文档夹及文档的授权管理，支持预先归档功能、支持多种查询方式，支持查阅、编辑、下载、版本管理等权限，支持树型文档夹管理体系</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支持日程可以与项目进行关联，支持多事务性接待管理需求、邮件（统一收发）集成，支持会议申报、审批、安排、通知、记录、查询及会议回执</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 xml:space="preserve">辅助办公管理：1、车辆档案管理，车辆申请、审核及出车、归车登记管理，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2、信息发布与档案资料管理、借阅、归还。</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移动办公：支持系统APP、微信等多种手机端模式，实现移动协同办公，支持智能手机及IPAD直接登录办公。</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是否支持内部邮箱</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rPr>
              <w:t>是否具有通讯工具</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符合得1分，不符合0分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restart"/>
          </w:tcPr>
          <w:p>
            <w:pPr>
              <w:widowControl/>
              <w:spacing w:line="360" w:lineRule="auto"/>
              <w:ind w:firstLine="480"/>
              <w:jc w:val="center"/>
              <w:rPr>
                <w:rFonts w:ascii="宋体" w:hAnsi="宋体" w:cs="宋体"/>
                <w:color w:val="000000"/>
                <w:kern w:val="0"/>
                <w:sz w:val="20"/>
                <w:szCs w:val="20"/>
              </w:rPr>
            </w:pPr>
            <w:r>
              <w:rPr>
                <w:rFonts w:hint="eastAsia" w:ascii="宋体" w:hAnsi="宋体" w:cs="宋体"/>
              </w:rPr>
              <w:t>Erp系统(用友erp u13.0)与oa集成主要流程</w:t>
            </w:r>
          </w:p>
        </w:tc>
        <w:tc>
          <w:tcPr>
            <w:tcW w:w="5200" w:type="dxa"/>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考勤模块（</w:t>
            </w:r>
            <w:r>
              <w:rPr>
                <w:rFonts w:hint="eastAsia" w:ascii="宋体" w:hAnsi="宋体" w:cs="宋体"/>
              </w:rPr>
              <w:t>班次变更单、调班单、换班单、加班单、请假单、出差单、人员调动</w:t>
            </w:r>
            <w:r>
              <w:rPr>
                <w:rFonts w:hint="eastAsia" w:ascii="宋体" w:hAnsi="宋体" w:cs="宋体"/>
                <w:color w:val="000000"/>
                <w:kern w:val="0"/>
                <w:sz w:val="20"/>
                <w:szCs w:val="20"/>
              </w:rPr>
              <w:t>）表单增加、修改、修改、审核、弃核，审批</w:t>
            </w:r>
          </w:p>
          <w:p>
            <w:pPr>
              <w:widowControl/>
              <w:spacing w:line="360" w:lineRule="auto"/>
              <w:ind w:firstLine="0" w:firstLineChars="0"/>
              <w:jc w:val="left"/>
              <w:rPr>
                <w:rFonts w:ascii="宋体" w:hAnsi="宋体" w:cs="宋体"/>
                <w:color w:val="000000"/>
                <w:kern w:val="0"/>
                <w:sz w:val="20"/>
                <w:szCs w:val="20"/>
              </w:rPr>
            </w:pPr>
          </w:p>
        </w:tc>
        <w:tc>
          <w:tcPr>
            <w:tcW w:w="1592" w:type="dxa"/>
            <w:vMerge w:val="restart"/>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全部符合得30分，</w:t>
            </w:r>
          </w:p>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每小项不符合扣1分，</w:t>
            </w:r>
          </w:p>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最高扣30分</w:t>
            </w:r>
          </w:p>
          <w:p>
            <w:pPr>
              <w:widowControl/>
              <w:spacing w:line="36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spacing w:line="360" w:lineRule="auto"/>
              <w:ind w:firstLine="0" w:firstLineChars="0"/>
              <w:rPr>
                <w:rFonts w:ascii="宋体" w:hAnsi="宋体" w:cs="宋体"/>
              </w:rPr>
            </w:pPr>
            <w:r>
              <w:rPr>
                <w:rFonts w:hint="eastAsia" w:ascii="宋体" w:hAnsi="宋体" w:cs="宋体"/>
              </w:rPr>
              <w:t>销售管理模块 (发货单、销售订单的查询、审核、弃核；客户财务开票情况统计查询；销售数据分析查询；客户应收款统计查询；销售报价审批)</w:t>
            </w:r>
          </w:p>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rPr>
              <w:t xml:space="preserve"> </w:t>
            </w:r>
          </w:p>
        </w:tc>
        <w:tc>
          <w:tcPr>
            <w:tcW w:w="1592" w:type="dxa"/>
            <w:vMerge w:val="continue"/>
            <w:vAlign w:val="center"/>
          </w:tcPr>
          <w:p>
            <w:pPr>
              <w:widowControl/>
              <w:spacing w:line="36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vAlign w:val="center"/>
          </w:tcPr>
          <w:p>
            <w:pPr>
              <w:spacing w:line="360" w:lineRule="auto"/>
              <w:ind w:firstLine="0" w:firstLineChars="0"/>
              <w:rPr>
                <w:rFonts w:ascii="宋体" w:hAnsi="宋体" w:cs="宋体"/>
              </w:rPr>
            </w:pPr>
            <w:r>
              <w:rPr>
                <w:rFonts w:hint="eastAsia" w:ascii="宋体" w:hAnsi="宋体" w:cs="宋体"/>
              </w:rPr>
              <w:t>采购管理模块(请购单、采购订单、付款申请单、供应商应付款的查询、审核、弃审、统计报表)</w:t>
            </w:r>
          </w:p>
          <w:p>
            <w:pPr>
              <w:widowControl/>
              <w:spacing w:line="360" w:lineRule="auto"/>
              <w:ind w:firstLine="0" w:firstLineChars="0"/>
              <w:jc w:val="left"/>
              <w:rPr>
                <w:rFonts w:ascii="宋体" w:hAnsi="宋体" w:cs="宋体"/>
                <w:color w:val="000000"/>
                <w:kern w:val="0"/>
                <w:sz w:val="20"/>
                <w:szCs w:val="20"/>
              </w:rPr>
            </w:pPr>
          </w:p>
        </w:tc>
        <w:tc>
          <w:tcPr>
            <w:tcW w:w="1592" w:type="dxa"/>
            <w:vMerge w:val="continue"/>
            <w:vAlign w:val="center"/>
          </w:tcPr>
          <w:p>
            <w:pPr>
              <w:widowControl/>
              <w:spacing w:line="36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tcPr>
          <w:p>
            <w:pPr>
              <w:spacing w:line="360" w:lineRule="auto"/>
              <w:ind w:firstLine="0" w:firstLineChars="0"/>
              <w:rPr>
                <w:rFonts w:ascii="宋体" w:hAnsi="宋体" w:cs="宋体"/>
              </w:rPr>
            </w:pPr>
            <w:r>
              <w:rPr>
                <w:rFonts w:hint="eastAsia" w:ascii="宋体" w:hAnsi="宋体" w:cs="宋体"/>
              </w:rPr>
              <w:t>库存管理模块(领料单、材料出库单、销售出库单，其他入库单、其他出库单、采购入库单的查询、审核、弃审、统计报表;成品实时库存查询查询)</w:t>
            </w:r>
          </w:p>
          <w:p>
            <w:pPr>
              <w:widowControl/>
              <w:spacing w:line="360" w:lineRule="auto"/>
              <w:ind w:firstLine="0" w:firstLineChars="0"/>
              <w:jc w:val="left"/>
              <w:rPr>
                <w:rFonts w:ascii="宋体" w:hAnsi="宋体" w:cs="宋体"/>
                <w:color w:val="000000"/>
                <w:kern w:val="0"/>
                <w:sz w:val="20"/>
                <w:szCs w:val="20"/>
              </w:rPr>
            </w:pPr>
          </w:p>
        </w:tc>
        <w:tc>
          <w:tcPr>
            <w:tcW w:w="1592" w:type="dxa"/>
            <w:vMerge w:val="continue"/>
            <w:vAlign w:val="center"/>
          </w:tcPr>
          <w:p>
            <w:pPr>
              <w:widowControl/>
              <w:spacing w:line="36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Merge w:val="continue"/>
          </w:tcPr>
          <w:p>
            <w:pPr>
              <w:widowControl/>
              <w:spacing w:line="360" w:lineRule="auto"/>
              <w:ind w:firstLine="400"/>
              <w:jc w:val="center"/>
              <w:rPr>
                <w:rFonts w:ascii="宋体" w:hAnsi="宋体" w:cs="宋体"/>
                <w:color w:val="000000"/>
                <w:kern w:val="0"/>
                <w:sz w:val="20"/>
                <w:szCs w:val="20"/>
              </w:rPr>
            </w:pPr>
          </w:p>
        </w:tc>
        <w:tc>
          <w:tcPr>
            <w:tcW w:w="5200" w:type="dxa"/>
            <w:vAlign w:val="center"/>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rPr>
              <w:t>财务：财务费用报销(采购、差旅费、维修等)；付款申请借款申请，合同(采购、销售)审批</w:t>
            </w:r>
          </w:p>
        </w:tc>
        <w:tc>
          <w:tcPr>
            <w:tcW w:w="1592" w:type="dxa"/>
            <w:vMerge w:val="continue"/>
            <w:vAlign w:val="center"/>
          </w:tcPr>
          <w:p>
            <w:pPr>
              <w:widowControl/>
              <w:spacing w:line="36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其他主要流程</w:t>
            </w:r>
          </w:p>
        </w:tc>
        <w:tc>
          <w:tcPr>
            <w:tcW w:w="5200" w:type="dxa"/>
            <w:vAlign w:val="center"/>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rPr>
              <w:t>合同(人事合同(与员工、与劳务公司))审批；招标流程审批；项目立项审批；人事招聘审批；管理人员录用审批；离职交接单；人员需求规划； 工资审批；投标流程审批；人事培训流程审批；固定资产请购审批；固定资产验收审批 ；固定资产验收审批；维修流转单审批 ；车辆使用审批 ；签章流程审批；外加工流程审批 ；下发文件流程审批；上报文件流程审批；销售合同评审流程；</w:t>
            </w:r>
            <w:r>
              <w:rPr>
                <w:rFonts w:hint="eastAsia" w:ascii="宋体" w:hAnsi="宋体" w:cs="宋体"/>
                <w:color w:val="000000"/>
                <w:kern w:val="0"/>
                <w:lang w:bidi="ar"/>
              </w:rPr>
              <w:t>公告审批；招待申请；</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全部符合得15分，</w:t>
            </w:r>
          </w:p>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一项不符合扣1分，</w:t>
            </w:r>
          </w:p>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最高扣15分</w:t>
            </w:r>
          </w:p>
          <w:p>
            <w:pPr>
              <w:widowControl/>
              <w:spacing w:line="360" w:lineRule="auto"/>
              <w:ind w:firstLine="0" w:firstLineChars="0"/>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tcPr>
          <w:p>
            <w:pPr>
              <w:widowControl/>
              <w:spacing w:line="360" w:lineRule="auto"/>
              <w:ind w:firstLine="400"/>
              <w:jc w:val="center"/>
              <w:rPr>
                <w:rFonts w:ascii="宋体" w:hAnsi="宋体" w:cs="宋体"/>
                <w:color w:val="000000"/>
                <w:kern w:val="0"/>
                <w:sz w:val="20"/>
                <w:szCs w:val="20"/>
              </w:rPr>
            </w:pPr>
            <w:r>
              <w:rPr>
                <w:rFonts w:hint="eastAsia" w:ascii="宋体" w:hAnsi="宋体" w:cs="宋体"/>
                <w:color w:val="000000"/>
                <w:kern w:val="0"/>
                <w:sz w:val="20"/>
                <w:szCs w:val="20"/>
              </w:rPr>
              <w:t>项目实施与服务能力</w:t>
            </w:r>
          </w:p>
        </w:tc>
        <w:tc>
          <w:tcPr>
            <w:tcW w:w="988" w:type="dxa"/>
            <w:vAlign w:val="center"/>
          </w:tcPr>
          <w:p>
            <w:pPr>
              <w:widowControl/>
              <w:spacing w:line="360" w:lineRule="auto"/>
              <w:ind w:firstLine="0" w:firstLineChars="0"/>
              <w:rPr>
                <w:rFonts w:ascii="宋体" w:hAnsi="宋体" w:cs="宋体"/>
                <w:color w:val="000000"/>
                <w:kern w:val="0"/>
                <w:sz w:val="20"/>
                <w:szCs w:val="20"/>
              </w:rPr>
            </w:pPr>
            <w:r>
              <w:rPr>
                <w:rFonts w:hint="eastAsia" w:ascii="宋体" w:hAnsi="宋体" w:cs="宋体"/>
                <w:color w:val="000000"/>
                <w:kern w:val="0"/>
                <w:sz w:val="20"/>
                <w:szCs w:val="20"/>
              </w:rPr>
              <w:t>实施流程和工具规范性               1分</w:t>
            </w:r>
          </w:p>
        </w:tc>
        <w:tc>
          <w:tcPr>
            <w:tcW w:w="5200" w:type="dxa"/>
            <w:vAlign w:val="center"/>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有完整实施方法论、实施进度表。</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 有1分 没有0分。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pPr>
              <w:widowControl/>
              <w:spacing w:line="360" w:lineRule="auto"/>
              <w:ind w:firstLine="400"/>
              <w:jc w:val="center"/>
              <w:rPr>
                <w:rFonts w:ascii="宋体" w:hAnsi="宋体" w:cs="宋体"/>
                <w:color w:val="000000"/>
                <w:kern w:val="0"/>
                <w:sz w:val="20"/>
                <w:szCs w:val="20"/>
              </w:rPr>
            </w:pPr>
          </w:p>
        </w:tc>
        <w:tc>
          <w:tcPr>
            <w:tcW w:w="988" w:type="dxa"/>
            <w:vAlign w:val="center"/>
          </w:tcPr>
          <w:p>
            <w:pPr>
              <w:widowControl/>
              <w:spacing w:line="360" w:lineRule="auto"/>
              <w:ind w:firstLine="0" w:firstLineChars="0"/>
              <w:rPr>
                <w:rFonts w:ascii="宋体" w:hAnsi="宋体" w:cs="宋体"/>
                <w:color w:val="000000"/>
                <w:kern w:val="0"/>
                <w:sz w:val="20"/>
                <w:szCs w:val="20"/>
              </w:rPr>
            </w:pPr>
            <w:r>
              <w:rPr>
                <w:rFonts w:hint="eastAsia" w:ascii="宋体" w:hAnsi="宋体" w:cs="宋体"/>
                <w:color w:val="000000"/>
                <w:kern w:val="0"/>
                <w:sz w:val="20"/>
                <w:szCs w:val="20"/>
              </w:rPr>
              <w:t>实施团队人员组合的科学性        1分</w:t>
            </w:r>
          </w:p>
        </w:tc>
        <w:tc>
          <w:tcPr>
            <w:tcW w:w="5200" w:type="dxa"/>
            <w:vAlign w:val="center"/>
          </w:tcPr>
          <w:p>
            <w:pPr>
              <w:widowControl/>
              <w:spacing w:line="360" w:lineRule="auto"/>
              <w:ind w:firstLine="0" w:firstLineChars="0"/>
              <w:jc w:val="left"/>
              <w:rPr>
                <w:rFonts w:ascii="宋体" w:hAnsi="宋体" w:cs="宋体"/>
                <w:color w:val="000000"/>
                <w:kern w:val="0"/>
                <w:sz w:val="20"/>
                <w:szCs w:val="20"/>
              </w:rPr>
            </w:pPr>
            <w:r>
              <w:rPr>
                <w:rFonts w:hint="eastAsia" w:ascii="宋体" w:hAnsi="宋体" w:cs="宋体"/>
                <w:color w:val="000000"/>
                <w:kern w:val="0"/>
                <w:sz w:val="20"/>
                <w:szCs w:val="20"/>
              </w:rPr>
              <w:t>主要看实施人员的简历，是否有同类型项目经验 。</w:t>
            </w:r>
          </w:p>
        </w:tc>
        <w:tc>
          <w:tcPr>
            <w:tcW w:w="1592" w:type="dxa"/>
            <w:vAlign w:val="center"/>
          </w:tcPr>
          <w:p>
            <w:pPr>
              <w:widowControl/>
              <w:spacing w:line="360" w:lineRule="auto"/>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 有1分 没有0分。</w:t>
            </w:r>
          </w:p>
        </w:tc>
      </w:tr>
    </w:tbl>
    <w:p>
      <w:pPr>
        <w:spacing w:line="360" w:lineRule="auto"/>
        <w:ind w:firstLine="480"/>
      </w:pPr>
    </w:p>
    <w:p>
      <w:pPr>
        <w:pStyle w:val="3"/>
        <w:spacing w:line="360" w:lineRule="auto"/>
        <w:ind w:firstLine="482"/>
        <w:rPr>
          <w:b/>
          <w:color w:val="000000"/>
        </w:rPr>
      </w:pPr>
      <w:bookmarkStart w:id="160" w:name="_Toc523214629"/>
      <w:bookmarkStart w:id="161" w:name="_Toc523210766"/>
      <w:bookmarkStart w:id="162" w:name="_Toc125855765"/>
      <w:bookmarkStart w:id="163" w:name="_Toc125217139"/>
      <w:r>
        <w:rPr>
          <w:rFonts w:hint="eastAsia"/>
          <w:b/>
          <w:color w:val="000000"/>
        </w:rPr>
        <w:t>一、投标文件的澄清</w:t>
      </w:r>
      <w:bookmarkEnd w:id="160"/>
      <w:bookmarkEnd w:id="161"/>
      <w:bookmarkEnd w:id="162"/>
      <w:bookmarkEnd w:id="163"/>
    </w:p>
    <w:p>
      <w:pPr>
        <w:spacing w:line="360" w:lineRule="auto"/>
        <w:ind w:firstLine="480"/>
      </w:pPr>
      <w:bookmarkStart w:id="164" w:name="_Toc237970826"/>
      <w:r>
        <w:t>1</w:t>
      </w:r>
      <w:r>
        <w:rPr>
          <w:rFonts w:hint="eastAsia"/>
        </w:rPr>
        <w:t>、为了有助于对投标文件进行审查、评估和比较，邀标人有权向投标人质疑并请投标人澄清其投标文件内容。投标人有责任按照邀标人通知的时间、地点指派专人进行答疑和澄清。</w:t>
      </w:r>
      <w:bookmarkEnd w:id="164"/>
    </w:p>
    <w:p>
      <w:pPr>
        <w:spacing w:line="360" w:lineRule="auto"/>
        <w:ind w:firstLine="480"/>
        <w:rPr>
          <w:color w:val="000000"/>
        </w:rPr>
      </w:pPr>
      <w:r>
        <w:rPr>
          <w:color w:val="000000"/>
        </w:rPr>
        <w:t>2</w:t>
      </w:r>
      <w:r>
        <w:rPr>
          <w:rFonts w:hint="eastAsia"/>
          <w:color w:val="000000"/>
        </w:rPr>
        <w:t>、重要澄清的答复应是书面的，但不是对投标内容进行实质性修改。</w:t>
      </w:r>
    </w:p>
    <w:p>
      <w:pPr>
        <w:spacing w:after="120" w:line="360" w:lineRule="auto"/>
        <w:ind w:firstLine="480"/>
        <w:rPr>
          <w:color w:val="000000"/>
        </w:rPr>
      </w:pPr>
    </w:p>
    <w:p>
      <w:pPr>
        <w:pStyle w:val="3"/>
        <w:spacing w:line="360" w:lineRule="auto"/>
        <w:ind w:firstLine="482"/>
        <w:rPr>
          <w:b/>
          <w:color w:val="000000"/>
        </w:rPr>
      </w:pPr>
      <w:bookmarkStart w:id="165" w:name="_Toc523214630"/>
      <w:bookmarkStart w:id="166" w:name="_Toc523210767"/>
      <w:bookmarkStart w:id="167" w:name="_Toc125855766"/>
      <w:bookmarkStart w:id="168" w:name="_Toc125217140"/>
      <w:r>
        <w:rPr>
          <w:rFonts w:hint="eastAsia"/>
          <w:b/>
          <w:color w:val="000000"/>
        </w:rPr>
        <w:t>二十</w:t>
      </w:r>
      <w:r>
        <w:rPr>
          <w:rFonts w:hint="eastAsia"/>
          <w:b/>
          <w:color w:val="000000"/>
          <w:lang w:eastAsia="zh-CN"/>
        </w:rPr>
        <w:t>七</w:t>
      </w:r>
      <w:r>
        <w:rPr>
          <w:rFonts w:hint="eastAsia"/>
          <w:b/>
          <w:color w:val="000000"/>
        </w:rPr>
        <w:t>、对投标文件的评估和比较</w:t>
      </w:r>
      <w:bookmarkEnd w:id="165"/>
      <w:bookmarkEnd w:id="166"/>
      <w:bookmarkEnd w:id="167"/>
      <w:bookmarkEnd w:id="168"/>
    </w:p>
    <w:p>
      <w:pPr>
        <w:spacing w:line="360" w:lineRule="auto"/>
        <w:ind w:firstLine="480"/>
      </w:pPr>
      <w:bookmarkStart w:id="169" w:name="_Toc237970828"/>
      <w:r>
        <w:t>1</w:t>
      </w:r>
      <w:r>
        <w:rPr>
          <w:rFonts w:hint="eastAsia"/>
        </w:rPr>
        <w:t>、邀标人及其组织的评标小组将对实质性响应的投标文件进行评估和比较。</w:t>
      </w:r>
      <w:bookmarkEnd w:id="169"/>
    </w:p>
    <w:p>
      <w:pPr>
        <w:spacing w:line="360" w:lineRule="auto"/>
        <w:ind w:firstLine="480"/>
      </w:pPr>
      <w:bookmarkStart w:id="170" w:name="_Toc237970829"/>
      <w:r>
        <w:t>2</w:t>
      </w:r>
      <w:r>
        <w:rPr>
          <w:rFonts w:hint="eastAsia"/>
        </w:rPr>
        <w:t>、评标时除考虑投标价外，还将考虑以下因素：</w:t>
      </w:r>
      <w:bookmarkEnd w:id="170"/>
    </w:p>
    <w:p>
      <w:pPr>
        <w:numPr>
          <w:ilvl w:val="0"/>
          <w:numId w:val="18"/>
        </w:numPr>
        <w:spacing w:line="360" w:lineRule="auto"/>
        <w:ind w:firstLineChars="0"/>
        <w:rPr>
          <w:color w:val="000000"/>
        </w:rPr>
      </w:pPr>
      <w:r>
        <w:rPr>
          <w:rFonts w:hint="eastAsia"/>
          <w:color w:val="000000"/>
        </w:rPr>
        <w:t>产品的技术架构、功能模块、性能指标和扩展能力；</w:t>
      </w:r>
    </w:p>
    <w:p>
      <w:pPr>
        <w:numPr>
          <w:ilvl w:val="0"/>
          <w:numId w:val="18"/>
        </w:numPr>
        <w:spacing w:line="360" w:lineRule="auto"/>
        <w:ind w:firstLineChars="0"/>
        <w:rPr>
          <w:color w:val="000000"/>
        </w:rPr>
      </w:pPr>
      <w:r>
        <w:rPr>
          <w:rFonts w:hint="eastAsia"/>
          <w:color w:val="000000"/>
        </w:rPr>
        <w:t>产品相关的各种配套资料的齐全性；</w:t>
      </w:r>
    </w:p>
    <w:p>
      <w:pPr>
        <w:numPr>
          <w:ilvl w:val="0"/>
          <w:numId w:val="18"/>
        </w:numPr>
        <w:spacing w:line="360" w:lineRule="auto"/>
        <w:ind w:firstLineChars="0"/>
        <w:rPr>
          <w:color w:val="000000"/>
        </w:rPr>
      </w:pPr>
      <w:r>
        <w:rPr>
          <w:rFonts w:hint="eastAsia"/>
          <w:color w:val="000000"/>
        </w:rPr>
        <w:t>投标人对系统安装、调试、开通的能力和时间性要求，要具有本地化服务机构；</w:t>
      </w:r>
    </w:p>
    <w:p>
      <w:pPr>
        <w:numPr>
          <w:ilvl w:val="0"/>
          <w:numId w:val="18"/>
        </w:numPr>
        <w:spacing w:line="360" w:lineRule="auto"/>
        <w:ind w:firstLineChars="0"/>
        <w:rPr>
          <w:color w:val="000000"/>
        </w:rPr>
      </w:pPr>
      <w:r>
        <w:rPr>
          <w:rFonts w:hint="eastAsia"/>
          <w:color w:val="000000"/>
        </w:rPr>
        <w:t>投标人在中华人民共和国境内为其所供产品提供客户化及售后服务的可能性；</w:t>
      </w:r>
    </w:p>
    <w:p>
      <w:pPr>
        <w:numPr>
          <w:ilvl w:val="0"/>
          <w:numId w:val="18"/>
        </w:numPr>
        <w:spacing w:line="360" w:lineRule="auto"/>
        <w:ind w:firstLineChars="0"/>
        <w:rPr>
          <w:color w:val="000000"/>
        </w:rPr>
      </w:pPr>
      <w:r>
        <w:rPr>
          <w:rFonts w:hint="eastAsia"/>
          <w:color w:val="000000"/>
        </w:rPr>
        <w:t>技术规格所要求的有关服务的费用；</w:t>
      </w:r>
    </w:p>
    <w:p>
      <w:pPr>
        <w:numPr>
          <w:ilvl w:val="0"/>
          <w:numId w:val="18"/>
        </w:numPr>
        <w:spacing w:line="360" w:lineRule="auto"/>
        <w:ind w:firstLineChars="0"/>
        <w:rPr>
          <w:color w:val="000000"/>
        </w:rPr>
      </w:pPr>
      <w:r>
        <w:rPr>
          <w:rFonts w:hint="eastAsia"/>
          <w:color w:val="000000"/>
        </w:rPr>
        <w:t>其他特殊要求因素（如安全及环保等）。</w:t>
      </w:r>
    </w:p>
    <w:p>
      <w:pPr>
        <w:spacing w:after="120" w:line="360" w:lineRule="auto"/>
        <w:ind w:left="425" w:firstLine="480"/>
        <w:rPr>
          <w:color w:val="000000"/>
        </w:rPr>
      </w:pPr>
    </w:p>
    <w:p>
      <w:pPr>
        <w:pStyle w:val="3"/>
        <w:spacing w:line="360" w:lineRule="auto"/>
        <w:ind w:firstLine="482"/>
        <w:rPr>
          <w:b/>
          <w:color w:val="000000"/>
        </w:rPr>
      </w:pPr>
      <w:bookmarkStart w:id="171" w:name="_Toc125217141"/>
      <w:bookmarkStart w:id="172" w:name="_Toc125855767"/>
      <w:bookmarkStart w:id="173" w:name="_Toc523214631"/>
      <w:bookmarkStart w:id="174" w:name="_Toc523210768"/>
      <w:r>
        <w:rPr>
          <w:rFonts w:hint="eastAsia"/>
          <w:b/>
          <w:color w:val="000000"/>
        </w:rPr>
        <w:t>二十</w:t>
      </w:r>
      <w:r>
        <w:rPr>
          <w:rFonts w:hint="eastAsia"/>
          <w:b/>
          <w:color w:val="000000"/>
          <w:lang w:eastAsia="zh-CN"/>
        </w:rPr>
        <w:t>八</w:t>
      </w:r>
      <w:r>
        <w:rPr>
          <w:rFonts w:hint="eastAsia"/>
          <w:b/>
          <w:color w:val="000000"/>
        </w:rPr>
        <w:t>、保密</w:t>
      </w:r>
      <w:bookmarkEnd w:id="171"/>
      <w:bookmarkEnd w:id="172"/>
      <w:bookmarkEnd w:id="173"/>
      <w:bookmarkEnd w:id="174"/>
    </w:p>
    <w:p>
      <w:pPr>
        <w:spacing w:line="360" w:lineRule="auto"/>
        <w:ind w:firstLine="480"/>
      </w:pPr>
      <w:bookmarkStart w:id="175" w:name="_Toc237970831"/>
      <w:r>
        <w:rPr>
          <w:rFonts w:hint="eastAsia"/>
        </w:rPr>
        <w:t>1、有关投标文件的审查、澄清、评估和比较以及有关授予合同的意向的一切情况都不得透露给任何投标人或与上述评标工作无关的人员。</w:t>
      </w:r>
      <w:bookmarkEnd w:id="175"/>
    </w:p>
    <w:p>
      <w:pPr>
        <w:spacing w:line="360" w:lineRule="auto"/>
        <w:ind w:firstLine="480"/>
      </w:pPr>
      <w:bookmarkStart w:id="176" w:name="_Toc237970832"/>
      <w:r>
        <w:rPr>
          <w:rFonts w:hint="eastAsia"/>
        </w:rPr>
        <w:t>2、投标人不得干扰邀标人的评标活动，否则将废除其投标。</w:t>
      </w:r>
      <w:bookmarkEnd w:id="176"/>
    </w:p>
    <w:p>
      <w:pPr>
        <w:spacing w:line="360" w:lineRule="auto"/>
        <w:ind w:firstLine="480"/>
        <w:rPr>
          <w:b/>
        </w:rPr>
      </w:pPr>
      <w:bookmarkStart w:id="177" w:name="_Toc237970833"/>
      <w:r>
        <w:rPr>
          <w:rFonts w:hint="eastAsia"/>
        </w:rPr>
        <w:t>3、本项目邀标书属于</w:t>
      </w:r>
      <w:r>
        <w:rPr>
          <w:rFonts w:hint="eastAsia" w:ascii="宋体" w:hAnsi="宋体" w:cs="Arial"/>
          <w:color w:val="000000"/>
        </w:rPr>
        <w:t>无锡市太极实业股份有限公司</w:t>
      </w:r>
      <w:r>
        <w:rPr>
          <w:rFonts w:hint="eastAsia"/>
        </w:rPr>
        <w:t>所有。未经</w:t>
      </w:r>
      <w:r>
        <w:rPr>
          <w:rFonts w:hint="eastAsia" w:ascii="宋体" w:hAnsi="宋体" w:cs="Arial"/>
          <w:color w:val="000000"/>
        </w:rPr>
        <w:t>无锡市太极实业股份有限公司</w:t>
      </w:r>
      <w:r>
        <w:rPr>
          <w:rFonts w:hint="eastAsia"/>
        </w:rPr>
        <w:t>的书面许可，不得将本项目邀标书的任何内容以任何形式泄露给任何其它第三方。否则将废除其投标。</w:t>
      </w:r>
      <w:bookmarkEnd w:id="177"/>
      <w:bookmarkStart w:id="178" w:name="_Toc523210775"/>
      <w:bookmarkStart w:id="179" w:name="_Toc523214638"/>
      <w:r>
        <w:rPr>
          <w:rFonts w:hint="eastAsia"/>
          <w:b/>
        </w:rPr>
        <w:t>G</w:t>
      </w:r>
      <w:r>
        <w:rPr>
          <w:b/>
        </w:rPr>
        <w:t xml:space="preserve">  </w:t>
      </w:r>
      <w:r>
        <w:rPr>
          <w:rFonts w:hint="eastAsia"/>
          <w:b/>
        </w:rPr>
        <w:t>其它</w:t>
      </w:r>
      <w:bookmarkEnd w:id="178"/>
      <w:bookmarkEnd w:id="179"/>
    </w:p>
    <w:p>
      <w:pPr>
        <w:pStyle w:val="3"/>
        <w:spacing w:line="360" w:lineRule="auto"/>
        <w:ind w:firstLine="482"/>
        <w:rPr>
          <w:b/>
          <w:color w:val="000000"/>
        </w:rPr>
      </w:pPr>
      <w:bookmarkStart w:id="180" w:name="_Toc125217148"/>
      <w:bookmarkStart w:id="181" w:name="_Toc125855774"/>
      <w:bookmarkStart w:id="182" w:name="_Toc523210776"/>
      <w:bookmarkStart w:id="183" w:name="_Toc523214639"/>
      <w:r>
        <w:rPr>
          <w:rFonts w:hint="eastAsia"/>
          <w:b/>
          <w:color w:val="000000"/>
        </w:rPr>
        <w:t>二十</w:t>
      </w:r>
      <w:r>
        <w:rPr>
          <w:rFonts w:hint="eastAsia"/>
          <w:b/>
          <w:color w:val="000000"/>
          <w:lang w:eastAsia="zh-CN"/>
        </w:rPr>
        <w:t>九</w:t>
      </w:r>
      <w:r>
        <w:rPr>
          <w:rFonts w:hint="eastAsia"/>
          <w:b/>
          <w:color w:val="000000"/>
        </w:rPr>
        <w:t>、其它说明</w:t>
      </w:r>
      <w:bookmarkEnd w:id="180"/>
      <w:bookmarkEnd w:id="181"/>
      <w:bookmarkEnd w:id="182"/>
      <w:bookmarkEnd w:id="183"/>
    </w:p>
    <w:p>
      <w:pPr>
        <w:spacing w:line="360" w:lineRule="auto"/>
        <w:ind w:firstLine="480"/>
      </w:pPr>
      <w:bookmarkStart w:id="184" w:name="_Toc237970851"/>
      <w:r>
        <w:rPr>
          <w:rFonts w:hint="eastAsia"/>
        </w:rPr>
        <w:t>投标人所提供的产品及服务应不存在任何知识产权争议，或该争议不会影响</w:t>
      </w:r>
      <w:r>
        <w:rPr>
          <w:rFonts w:hint="eastAsia" w:ascii="宋体" w:hAnsi="宋体" w:cs="Arial"/>
          <w:color w:val="000000"/>
        </w:rPr>
        <w:t>江苏太极实业新材料有限公司</w:t>
      </w:r>
      <w:r>
        <w:rPr>
          <w:rFonts w:hint="eastAsia"/>
        </w:rPr>
        <w:t>对该产品及服务的正常使用。如因前述争议给</w:t>
      </w:r>
      <w:r>
        <w:rPr>
          <w:rFonts w:hint="eastAsia" w:ascii="宋体" w:hAnsi="宋体" w:cs="Arial"/>
          <w:color w:val="000000"/>
        </w:rPr>
        <w:t>江苏太极实业新材料有限公司</w:t>
      </w:r>
      <w:r>
        <w:rPr>
          <w:rFonts w:hint="eastAsia"/>
        </w:rPr>
        <w:t>带来经济上的或其它方面的损失，</w:t>
      </w:r>
      <w:r>
        <w:rPr>
          <w:rFonts w:hint="eastAsia" w:ascii="宋体" w:hAnsi="宋体" w:cs="Arial"/>
          <w:color w:val="000000"/>
        </w:rPr>
        <w:t>无锡市太极实业股份有限公司</w:t>
      </w:r>
      <w:r>
        <w:rPr>
          <w:rFonts w:hint="eastAsia"/>
        </w:rPr>
        <w:t>有权于任何时间就该损失向该投标人追偿。</w:t>
      </w:r>
      <w:bookmarkEnd w:id="184"/>
    </w:p>
    <w:p>
      <w:pPr>
        <w:spacing w:line="360" w:lineRule="auto"/>
        <w:ind w:firstLine="480"/>
      </w:pPr>
      <w:bookmarkStart w:id="185" w:name="_Toc237970852"/>
      <w:r>
        <w:rPr>
          <w:rFonts w:hint="eastAsia"/>
        </w:rPr>
        <w:t>关于本次项目邀标过程及本项目邀标书的任何问题，可与</w:t>
      </w:r>
      <w:r>
        <w:rPr>
          <w:rFonts w:hint="eastAsia" w:ascii="宋体" w:hAnsi="宋体" w:cs="Arial"/>
          <w:color w:val="000000"/>
        </w:rPr>
        <w:t>江苏太极实业新材料有限公司</w:t>
      </w:r>
      <w:r>
        <w:rPr>
          <w:rFonts w:hint="eastAsia"/>
        </w:rPr>
        <w:t>联系。</w:t>
      </w:r>
      <w:bookmarkEnd w:id="185"/>
    </w:p>
    <w:p>
      <w:pPr>
        <w:pStyle w:val="2"/>
        <w:spacing w:line="240" w:lineRule="auto"/>
        <w:ind w:firstLine="723"/>
        <w:jc w:val="center"/>
      </w:pPr>
      <w:bookmarkStart w:id="186" w:name="_Toc523214640"/>
      <w:bookmarkStart w:id="187" w:name="_Toc125855775"/>
      <w:bookmarkStart w:id="188" w:name="_Toc523210777"/>
      <w:bookmarkStart w:id="189" w:name="_Toc98903475"/>
      <w:r>
        <w:rPr>
          <w:rFonts w:hint="eastAsia"/>
          <w:color w:val="000000"/>
          <w:sz w:val="36"/>
        </w:rPr>
        <w:t>第二部分  办公协同系统项目需求</w:t>
      </w:r>
      <w:bookmarkEnd w:id="186"/>
      <w:bookmarkEnd w:id="187"/>
      <w:bookmarkEnd w:id="188"/>
      <w:bookmarkEnd w:id="189"/>
    </w:p>
    <w:p>
      <w:pPr>
        <w:pStyle w:val="3"/>
        <w:spacing w:line="240" w:lineRule="auto"/>
        <w:ind w:firstLine="482"/>
        <w:rPr>
          <w:rFonts w:hint="eastAsia"/>
          <w:b/>
          <w:color w:val="000000"/>
        </w:rPr>
      </w:pPr>
      <w:bookmarkStart w:id="190" w:name="_Toc125855778"/>
      <w:bookmarkStart w:id="191" w:name="_Toc123358531"/>
      <w:bookmarkStart w:id="192" w:name="_Toc523214643"/>
      <w:bookmarkStart w:id="193" w:name="_Toc523210780"/>
      <w:bookmarkStart w:id="194" w:name="_Toc123358537"/>
      <w:bookmarkStart w:id="195" w:name="_Toc123358554"/>
      <w:r>
        <w:rPr>
          <w:rFonts w:hint="eastAsia"/>
          <w:b/>
          <w:color w:val="000000"/>
          <w:lang w:eastAsia="zh-CN"/>
        </w:rPr>
        <w:t>一</w:t>
      </w:r>
      <w:r>
        <w:rPr>
          <w:rFonts w:hint="eastAsia"/>
          <w:b/>
          <w:color w:val="000000"/>
        </w:rPr>
        <w:t>、</w:t>
      </w:r>
      <w:bookmarkEnd w:id="190"/>
      <w:bookmarkEnd w:id="191"/>
      <w:r>
        <w:rPr>
          <w:rFonts w:hint="eastAsia"/>
          <w:b/>
          <w:color w:val="000000"/>
        </w:rPr>
        <w:t>系统建设综述</w:t>
      </w:r>
      <w:bookmarkEnd w:id="192"/>
      <w:bookmarkEnd w:id="193"/>
    </w:p>
    <w:p>
      <w:pPr>
        <w:spacing w:before="120" w:beforeLines="50" w:after="120" w:afterLines="50"/>
        <w:ind w:firstLine="480"/>
        <w:rPr>
          <w:rFonts w:hint="eastAsia" w:ascii="宋体" w:hAnsi="宋体"/>
          <w:kern w:val="0"/>
          <w:szCs w:val="21"/>
        </w:rPr>
      </w:pPr>
      <w:bookmarkStart w:id="196" w:name="_Toc125855779"/>
      <w:bookmarkStart w:id="197" w:name="_Toc98903477"/>
      <w:r>
        <w:rPr>
          <w:rFonts w:hint="eastAsia" w:ascii="宋体" w:hAnsi="宋体"/>
          <w:kern w:val="0"/>
          <w:szCs w:val="21"/>
          <w:lang w:eastAsia="zh-CN"/>
        </w:rPr>
        <w:t>江苏太极</w:t>
      </w:r>
      <w:r>
        <w:rPr>
          <w:rFonts w:hint="eastAsia" w:ascii="宋体" w:hAnsi="宋体"/>
          <w:kern w:val="0"/>
          <w:szCs w:val="21"/>
        </w:rPr>
        <w:t>信息化</w:t>
      </w:r>
      <w:r>
        <w:rPr>
          <w:rFonts w:ascii="宋体" w:hAnsi="宋体"/>
          <w:kern w:val="0"/>
          <w:szCs w:val="21"/>
        </w:rPr>
        <w:t>整体实施</w:t>
      </w:r>
      <w:r>
        <w:rPr>
          <w:rFonts w:hint="eastAsia" w:ascii="宋体" w:hAnsi="宋体"/>
          <w:kern w:val="0"/>
          <w:szCs w:val="21"/>
        </w:rPr>
        <w:t>推进策略</w:t>
      </w:r>
      <w:r>
        <w:rPr>
          <w:rFonts w:ascii="宋体" w:hAnsi="宋体"/>
          <w:kern w:val="0"/>
          <w:szCs w:val="21"/>
        </w:rPr>
        <w:t>主要是</w:t>
      </w:r>
      <w:r>
        <w:rPr>
          <w:rFonts w:hint="eastAsia" w:ascii="宋体" w:hAnsi="宋体"/>
          <w:kern w:val="0"/>
          <w:szCs w:val="21"/>
        </w:rPr>
        <w:t>考虑</w:t>
      </w:r>
      <w:r>
        <w:rPr>
          <w:rFonts w:hint="eastAsia" w:ascii="宋体" w:hAnsi="宋体"/>
          <w:kern w:val="0"/>
          <w:szCs w:val="21"/>
          <w:lang w:eastAsia="zh-CN"/>
        </w:rPr>
        <w:t>江苏太极</w:t>
      </w:r>
      <w:r>
        <w:rPr>
          <w:rFonts w:ascii="宋体" w:hAnsi="宋体"/>
          <w:kern w:val="0"/>
          <w:szCs w:val="21"/>
        </w:rPr>
        <w:t>对各种不同信息系统需求的紧迫性</w:t>
      </w:r>
      <w:r>
        <w:rPr>
          <w:rFonts w:hint="eastAsia" w:ascii="宋体" w:hAnsi="宋体"/>
          <w:kern w:val="0"/>
          <w:szCs w:val="21"/>
          <w:lang w:eastAsia="zh-CN"/>
        </w:rPr>
        <w:t>和</w:t>
      </w:r>
      <w:r>
        <w:rPr>
          <w:rFonts w:hint="eastAsia" w:ascii="宋体" w:hAnsi="宋体"/>
          <w:kern w:val="0"/>
          <w:szCs w:val="21"/>
        </w:rPr>
        <w:t>管理需求最终形成的。系统</w:t>
      </w:r>
      <w:r>
        <w:rPr>
          <w:rFonts w:ascii="宋体" w:hAnsi="宋体"/>
          <w:kern w:val="0"/>
          <w:szCs w:val="21"/>
        </w:rPr>
        <w:t>建设的指导原则确定为：“统筹规划</w:t>
      </w:r>
      <w:r>
        <w:rPr>
          <w:rFonts w:hint="eastAsia" w:ascii="宋体" w:hAnsi="宋体"/>
          <w:kern w:val="0"/>
          <w:szCs w:val="21"/>
        </w:rPr>
        <w:t>、</w:t>
      </w:r>
      <w:r>
        <w:rPr>
          <w:rFonts w:ascii="宋体" w:hAnsi="宋体"/>
          <w:kern w:val="0"/>
          <w:szCs w:val="21"/>
        </w:rPr>
        <w:t>分步实施”。</w:t>
      </w:r>
    </w:p>
    <w:p>
      <w:pPr>
        <w:spacing w:before="120" w:beforeLines="50" w:after="120" w:afterLines="50"/>
        <w:ind w:firstLine="480"/>
        <w:rPr>
          <w:rFonts w:hint="eastAsia" w:ascii="宋体" w:hAnsi="宋体"/>
          <w:kern w:val="0"/>
          <w:szCs w:val="21"/>
        </w:rPr>
      </w:pPr>
      <w:r>
        <w:rPr>
          <w:rFonts w:hint="eastAsia" w:ascii="宋体" w:hAnsi="宋体"/>
          <w:kern w:val="0"/>
          <w:szCs w:val="21"/>
          <w:lang w:val="en-US" w:eastAsia="zh-CN"/>
        </w:rPr>
        <w:t xml:space="preserve"> </w:t>
      </w:r>
      <w:r>
        <w:rPr>
          <w:rFonts w:hint="eastAsia" w:ascii="宋体" w:hAnsi="宋体"/>
          <w:kern w:val="0"/>
          <w:szCs w:val="21"/>
        </w:rPr>
        <w:t>通过办公协同系统打造</w:t>
      </w:r>
      <w:r>
        <w:rPr>
          <w:rFonts w:hint="eastAsia" w:ascii="宋体" w:hAnsi="宋体"/>
          <w:kern w:val="0"/>
          <w:szCs w:val="21"/>
          <w:lang w:eastAsia="zh-CN"/>
        </w:rPr>
        <w:t>公司</w:t>
      </w:r>
      <w:r>
        <w:rPr>
          <w:rFonts w:hint="eastAsia" w:ascii="宋体" w:hAnsi="宋体"/>
          <w:kern w:val="0"/>
          <w:szCs w:val="21"/>
        </w:rPr>
        <w:t>门户、综合支撑管理（</w:t>
      </w:r>
      <w:r>
        <w:rPr>
          <w:rFonts w:hint="eastAsia" w:ascii="宋体" w:hAnsi="宋体"/>
          <w:color w:val="000000"/>
          <w:kern w:val="0"/>
          <w:szCs w:val="21"/>
        </w:rPr>
        <w:t>公文、行政办公、信息发布、综合事务管理</w:t>
      </w:r>
      <w:r>
        <w:rPr>
          <w:rFonts w:hint="eastAsia" w:ascii="宋体" w:hAnsi="宋体"/>
          <w:kern w:val="0"/>
          <w:szCs w:val="21"/>
        </w:rPr>
        <w:t>）、规范化流程体系（做到事前规范化申请、事中多维度数据支撑决策、事后数据分析）、以及形成初步的“知识”应用、以及与相关系统集成（单点登录，统一授权，事务信息统一推送、数据报表展现）；便于每个终端用户的工作开展、领导决策支持（通过接口将不同系统的数据与信息“自动聚合”推送至对应岗位人员）。</w:t>
      </w:r>
    </w:p>
    <w:p>
      <w:pPr>
        <w:pStyle w:val="3"/>
        <w:spacing w:line="240" w:lineRule="auto"/>
        <w:ind w:firstLine="482"/>
        <w:rPr>
          <w:rFonts w:hint="eastAsia"/>
          <w:b/>
          <w:color w:val="000000"/>
        </w:rPr>
      </w:pPr>
      <w:bookmarkStart w:id="198" w:name="_Toc523210781"/>
      <w:bookmarkStart w:id="199" w:name="_Toc523214644"/>
      <w:r>
        <w:rPr>
          <w:rFonts w:hint="eastAsia"/>
          <w:b/>
          <w:color w:val="000000"/>
        </w:rPr>
        <w:t>四、关键需求描述</w:t>
      </w:r>
      <w:bookmarkEnd w:id="196"/>
      <w:bookmarkEnd w:id="197"/>
      <w:bookmarkEnd w:id="198"/>
      <w:bookmarkEnd w:id="199"/>
    </w:p>
    <w:bookmarkEnd w:id="194"/>
    <w:bookmarkEnd w:id="195"/>
    <w:p>
      <w:pPr>
        <w:numPr>
          <w:ilvl w:val="0"/>
          <w:numId w:val="19"/>
        </w:numPr>
        <w:spacing w:line="360" w:lineRule="auto"/>
        <w:ind w:firstLine="482"/>
        <w:rPr>
          <w:rFonts w:hint="eastAsia" w:ascii="宋体" w:hAnsi="宋体"/>
          <w:b/>
          <w:color w:val="000000"/>
          <w:kern w:val="0"/>
        </w:rPr>
      </w:pPr>
      <w:bookmarkStart w:id="200" w:name="_Toc98903478"/>
      <w:bookmarkStart w:id="201" w:name="_Toc125855780"/>
      <w:r>
        <w:rPr>
          <w:rFonts w:hint="eastAsia" w:ascii="宋体" w:hAnsi="宋体"/>
          <w:b/>
          <w:color w:val="000000"/>
          <w:kern w:val="0"/>
          <w:lang w:eastAsia="zh-CN"/>
        </w:rPr>
        <w:t>公司</w:t>
      </w:r>
      <w:r>
        <w:rPr>
          <w:rFonts w:hint="eastAsia" w:ascii="宋体" w:hAnsi="宋体"/>
          <w:b/>
          <w:color w:val="000000"/>
          <w:kern w:val="0"/>
        </w:rPr>
        <w:t>办公协同系统（OA）</w:t>
      </w:r>
    </w:p>
    <w:p>
      <w:pPr>
        <w:spacing w:line="360" w:lineRule="auto"/>
        <w:ind w:firstLineChars="0"/>
        <w:rPr>
          <w:rFonts w:hint="eastAsia" w:ascii="宋体" w:hAnsi="宋体"/>
          <w:b/>
          <w:kern w:val="0"/>
        </w:rPr>
      </w:pPr>
      <w:r>
        <w:rPr>
          <w:rFonts w:hint="eastAsia" w:ascii="宋体" w:hAnsi="宋体"/>
          <w:b/>
          <w:kern w:val="0"/>
        </w:rPr>
        <w:t>1、系统技术要求：</w:t>
      </w:r>
    </w:p>
    <w:p>
      <w:pPr>
        <w:spacing w:line="520" w:lineRule="exact"/>
        <w:ind w:firstLine="480"/>
        <w:rPr>
          <w:rFonts w:hint="eastAsia" w:ascii="宋体" w:hAnsi="宋体"/>
          <w:szCs w:val="21"/>
        </w:rPr>
      </w:pPr>
      <w:r>
        <w:rPr>
          <w:rFonts w:hint="eastAsia" w:ascii="宋体" w:hAnsi="宋体"/>
          <w:szCs w:val="21"/>
        </w:rPr>
        <w:t>软件界面友好，易理解操作，运行稳定；支持Weblogic、 Websphere、tomcat等多种主流应用服务器；满足在Windows,UNIX,Linux等多种操作操作系统上使用。并与微软 Office的Word、Excel、Power Point、WPS等整合；</w:t>
      </w:r>
    </w:p>
    <w:p>
      <w:pPr>
        <w:spacing w:line="520" w:lineRule="exact"/>
        <w:ind w:firstLine="48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 xml:space="preserve">系统应具备门户化的功能，应具备与其他业务系统如流程、消息提醒、数据处理等方面的整合能力。 </w:t>
      </w:r>
    </w:p>
    <w:p>
      <w:pPr>
        <w:spacing w:line="520" w:lineRule="exact"/>
        <w:ind w:firstLine="480"/>
        <w:rPr>
          <w:rFonts w:hint="eastAsia" w:ascii="宋体" w:hAnsi="宋体"/>
          <w:szCs w:val="21"/>
        </w:rPr>
      </w:pPr>
      <w:r>
        <w:rPr>
          <w:rFonts w:hint="eastAsia" w:ascii="宋体" w:hAnsi="宋体"/>
          <w:szCs w:val="21"/>
        </w:rPr>
        <w:t xml:space="preserve">具有严谨的权限管理机制，可进行全面的权限管理，支持分级别管理授权。 </w:t>
      </w:r>
    </w:p>
    <w:p>
      <w:pPr>
        <w:spacing w:line="520" w:lineRule="exact"/>
        <w:ind w:firstLine="480"/>
        <w:rPr>
          <w:rFonts w:hint="eastAsia" w:ascii="宋体" w:hAnsi="宋体"/>
          <w:szCs w:val="21"/>
        </w:rPr>
      </w:pPr>
      <w:r>
        <w:rPr>
          <w:rFonts w:hint="eastAsia" w:ascii="宋体" w:hAnsi="宋体"/>
          <w:szCs w:val="21"/>
        </w:rPr>
        <w:t xml:space="preserve">具备运维平台，能详尽的日志功能，记录操作者，时间，操作内容，文件去向，系统运行记录、错误报警等信息，便于分析与监管。  </w:t>
      </w:r>
    </w:p>
    <w:p>
      <w:pPr>
        <w:spacing w:line="520" w:lineRule="exact"/>
        <w:ind w:firstLine="480"/>
        <w:rPr>
          <w:rFonts w:hint="eastAsia" w:ascii="宋体" w:hAnsi="宋体"/>
          <w:szCs w:val="21"/>
        </w:rPr>
      </w:pPr>
      <w:r>
        <w:rPr>
          <w:rFonts w:hint="eastAsia" w:ascii="宋体" w:hAnsi="宋体"/>
          <w:szCs w:val="21"/>
        </w:rPr>
        <w:t xml:space="preserve">具有完备的数据管理和统计分析（图表）能力，支持数据备份、恢复策略定制，数据分区等操作。 </w:t>
      </w:r>
    </w:p>
    <w:p>
      <w:pPr>
        <w:spacing w:line="520" w:lineRule="exact"/>
        <w:ind w:firstLine="480"/>
        <w:rPr>
          <w:rFonts w:hint="eastAsia" w:ascii="宋体" w:hAnsi="宋体"/>
          <w:szCs w:val="21"/>
        </w:rPr>
      </w:pPr>
      <w:r>
        <w:rPr>
          <w:rFonts w:hint="eastAsia" w:ascii="宋体" w:hAnsi="宋体"/>
          <w:szCs w:val="21"/>
        </w:rPr>
        <w:t>具有容错能力，在运行过程中出现错误时，提示故障原因。</w:t>
      </w:r>
    </w:p>
    <w:p>
      <w:pPr>
        <w:spacing w:line="520" w:lineRule="exact"/>
        <w:ind w:firstLine="480"/>
        <w:rPr>
          <w:rFonts w:hint="eastAsia" w:ascii="宋体" w:hAnsi="宋体"/>
          <w:szCs w:val="21"/>
        </w:rPr>
      </w:pPr>
      <w:r>
        <w:rPr>
          <w:rFonts w:hint="eastAsia" w:ascii="宋体" w:hAnsi="宋体"/>
          <w:szCs w:val="21"/>
        </w:rPr>
        <w:t>具有建模平台，可以根据业主需要快速构件系统新功能，可以无需写代码，通过前台配置实现。建模平台包括了电脑端和手机（含PAD）端的功能可以快速配置实现，支持以H5的方面实现，可以同时支持Android、IOS两大主流平台的应用，一次开发，多终端适用。</w:t>
      </w:r>
    </w:p>
    <w:p>
      <w:pPr>
        <w:spacing w:line="520" w:lineRule="exact"/>
        <w:ind w:firstLine="480"/>
        <w:rPr>
          <w:rFonts w:hint="eastAsia" w:ascii="宋体" w:hAnsi="宋体"/>
          <w:szCs w:val="21"/>
        </w:rPr>
      </w:pPr>
      <w:r>
        <w:rPr>
          <w:rFonts w:hint="eastAsia" w:ascii="宋体" w:hAnsi="宋体"/>
          <w:szCs w:val="21"/>
        </w:rPr>
        <w:t>投标方应在投标文件中明确办公系统接口开放，系统应易于二次开发扩展，具备标准的二次开发平台，并提供开发工具和详细的二次开发指导文档。项目实施中的开发内容的相关需求文档、功能说明、开发代码的版权等知识产权都归招标人所有。</w:t>
      </w:r>
    </w:p>
    <w:p>
      <w:pPr>
        <w:spacing w:line="520" w:lineRule="exact"/>
        <w:ind w:firstLine="480"/>
        <w:rPr>
          <w:rFonts w:hint="eastAsia" w:ascii="宋体" w:hAnsi="宋体" w:eastAsia="宋体"/>
          <w:szCs w:val="21"/>
          <w:lang w:val="en-US" w:eastAsia="zh-CN"/>
        </w:rPr>
      </w:pPr>
      <w:r>
        <w:rPr>
          <w:rFonts w:hint="eastAsia" w:ascii="宋体" w:hAnsi="宋体"/>
          <w:szCs w:val="21"/>
        </w:rPr>
        <w:t>所有业务流程的实现应基于工作流引擎技术，业务流程可定制；支持大型数据库，如</w:t>
      </w:r>
      <w:r>
        <w:rPr>
          <w:rFonts w:hint="eastAsia" w:ascii="宋体" w:hAnsi="宋体"/>
          <w:szCs w:val="21"/>
          <w:lang w:val="en-US" w:eastAsia="zh-CN"/>
        </w:rPr>
        <w:t>sqlserver。</w:t>
      </w:r>
    </w:p>
    <w:p>
      <w:pPr>
        <w:spacing w:line="520" w:lineRule="exact"/>
        <w:ind w:firstLine="480"/>
        <w:rPr>
          <w:rFonts w:hint="eastAsia" w:ascii="宋体" w:hAnsi="宋体"/>
          <w:szCs w:val="21"/>
        </w:rPr>
      </w:pPr>
      <w:r>
        <w:rPr>
          <w:rFonts w:hint="eastAsia" w:ascii="宋体" w:hAnsi="宋体"/>
          <w:szCs w:val="21"/>
        </w:rPr>
        <w:t>支持多维度的组织架构设计，以及围绕业务的矩阵化管理设计；</w:t>
      </w:r>
    </w:p>
    <w:p>
      <w:pPr>
        <w:spacing w:line="360" w:lineRule="auto"/>
        <w:ind w:firstLine="236" w:firstLineChars="98"/>
        <w:rPr>
          <w:rFonts w:hint="eastAsia" w:ascii="宋体" w:hAnsi="宋体"/>
          <w:b/>
          <w:kern w:val="0"/>
        </w:rPr>
      </w:pPr>
      <w:r>
        <w:rPr>
          <w:rFonts w:hint="eastAsia" w:ascii="宋体" w:hAnsi="宋体"/>
          <w:b/>
          <w:kern w:val="0"/>
        </w:rPr>
        <w:t>2、系统总体设计：</w:t>
      </w:r>
    </w:p>
    <w:p>
      <w:pPr>
        <w:tabs>
          <w:tab w:val="right" w:pos="-2120"/>
        </w:tabs>
        <w:adjustRightInd w:val="0"/>
        <w:snapToGrid w:val="0"/>
        <w:spacing w:line="360" w:lineRule="auto"/>
        <w:ind w:firstLine="240" w:firstLineChars="100"/>
        <w:rPr>
          <w:rFonts w:hint="eastAsia" w:ascii="宋体" w:hAnsi="宋体"/>
          <w:szCs w:val="21"/>
        </w:rPr>
      </w:pPr>
      <w:r>
        <w:rPr>
          <w:rFonts w:hint="eastAsia" w:ascii="宋体" w:hAnsi="宋体"/>
          <w:szCs w:val="21"/>
        </w:rPr>
        <w:t>（1）先进性，方案应采用先进的技术架构和设计方法，融合先进的管理思想，结构化程度高，扩展性、兼容性、升级性好，速度快，符合技术发展趋势，适应集团型单位管理和业务成长需要；</w:t>
      </w:r>
    </w:p>
    <w:p>
      <w:pPr>
        <w:tabs>
          <w:tab w:val="right" w:pos="-2120"/>
        </w:tabs>
        <w:adjustRightInd w:val="0"/>
        <w:snapToGrid w:val="0"/>
        <w:spacing w:line="360" w:lineRule="auto"/>
        <w:ind w:firstLine="240" w:firstLineChars="100"/>
        <w:rPr>
          <w:rFonts w:hint="eastAsia" w:ascii="宋体" w:hAnsi="宋体"/>
          <w:szCs w:val="21"/>
        </w:rPr>
      </w:pPr>
      <w:r>
        <w:rPr>
          <w:rFonts w:hint="eastAsia" w:ascii="宋体" w:hAnsi="宋体"/>
          <w:szCs w:val="21"/>
        </w:rPr>
        <w:t>（2）实用性，系统应充分考虑目前及今后几年的办公需要，开发贴近现实需求的功能模块，把各部门之间一些公共的、共性的、有着紧密联系的部分抽取出来，实现具体流程的计算机化，以达到提高工作效率和工作质量的目的；</w:t>
      </w:r>
    </w:p>
    <w:p>
      <w:pPr>
        <w:tabs>
          <w:tab w:val="right" w:pos="-2120"/>
        </w:tabs>
        <w:adjustRightInd w:val="0"/>
        <w:snapToGrid w:val="0"/>
        <w:spacing w:line="360" w:lineRule="auto"/>
        <w:ind w:firstLine="240" w:firstLineChars="100"/>
        <w:rPr>
          <w:rFonts w:hint="eastAsia" w:ascii="宋体" w:hAnsi="宋体"/>
          <w:szCs w:val="21"/>
        </w:rPr>
      </w:pPr>
      <w:r>
        <w:rPr>
          <w:rFonts w:hint="eastAsia" w:ascii="宋体" w:hAnsi="宋体"/>
          <w:szCs w:val="21"/>
        </w:rPr>
        <w:t>（3）易用性，为确保办公协同具有不同计算机应用水平的人员均能够快速掌握和操作OA系统，要重视用户界面的友好性，做到人性化设计，简单易用，便于操作；</w:t>
      </w:r>
    </w:p>
    <w:p>
      <w:pPr>
        <w:tabs>
          <w:tab w:val="right" w:pos="-2120"/>
        </w:tabs>
        <w:adjustRightInd w:val="0"/>
        <w:snapToGrid w:val="0"/>
        <w:spacing w:line="360" w:lineRule="auto"/>
        <w:ind w:firstLine="240" w:firstLineChars="100"/>
        <w:rPr>
          <w:rFonts w:hint="eastAsia" w:ascii="宋体" w:hAnsi="宋体"/>
          <w:szCs w:val="21"/>
        </w:rPr>
      </w:pPr>
      <w:r>
        <w:rPr>
          <w:rFonts w:hint="eastAsia" w:ascii="宋体" w:hAnsi="宋体"/>
          <w:szCs w:val="21"/>
        </w:rPr>
        <w:t>（4）灵活性，随着办公业务的发展，组织机构、业务类型和工作人员将会发生变化，系统设计应具有一定的灵活性，允许改变一些配置，变更或优化部分流程，以适应新的要求。对于业务流程的调整，应该是在适应现有体制的原则下，允许去定制一些可变的流程，用以灵活处理实际工作中出现的一些特殊情况；</w:t>
      </w:r>
    </w:p>
    <w:p>
      <w:pPr>
        <w:tabs>
          <w:tab w:val="right" w:pos="-2120"/>
        </w:tabs>
        <w:adjustRightInd w:val="0"/>
        <w:snapToGrid w:val="0"/>
        <w:spacing w:line="360" w:lineRule="auto"/>
        <w:ind w:firstLine="240" w:firstLineChars="100"/>
        <w:rPr>
          <w:rFonts w:hint="eastAsia" w:ascii="宋体" w:hAnsi="宋体"/>
          <w:szCs w:val="21"/>
        </w:rPr>
      </w:pPr>
      <w:r>
        <w:rPr>
          <w:rFonts w:hint="eastAsia" w:ascii="宋体" w:hAnsi="宋体"/>
          <w:szCs w:val="21"/>
        </w:rPr>
        <w:t>（5）可管理性，提供可视化的管理工具，允许通过多种手段，快捷管理、配置和监控系统运行状况，为系统正常运行提供技术保障。</w:t>
      </w:r>
    </w:p>
    <w:p>
      <w:pPr>
        <w:tabs>
          <w:tab w:val="right" w:pos="-2120"/>
        </w:tabs>
        <w:adjustRightInd w:val="0"/>
        <w:snapToGrid w:val="0"/>
        <w:spacing w:line="360" w:lineRule="auto"/>
        <w:ind w:firstLine="240" w:firstLineChars="100"/>
        <w:rPr>
          <w:rFonts w:hint="eastAsia" w:ascii="宋体" w:hAnsi="宋体" w:eastAsia="宋体"/>
          <w:b/>
          <w:kern w:val="0"/>
          <w:lang w:eastAsia="zh-CN"/>
        </w:rPr>
      </w:pPr>
      <w:r>
        <w:rPr>
          <w:rFonts w:hint="eastAsia" w:ascii="宋体" w:hAnsi="宋体"/>
          <w:szCs w:val="21"/>
        </w:rPr>
        <w:t>（6）可扩展性，支持主流的中间件的数据传输</w:t>
      </w:r>
      <w:r>
        <w:rPr>
          <w:rFonts w:hint="eastAsia" w:ascii="宋体" w:hAnsi="宋体"/>
          <w:szCs w:val="21"/>
          <w:lang w:eastAsia="zh-CN"/>
        </w:rPr>
        <w:t>。</w:t>
      </w:r>
    </w:p>
    <w:p>
      <w:pPr>
        <w:spacing w:line="360" w:lineRule="auto"/>
        <w:ind w:firstLine="236" w:firstLineChars="98"/>
        <w:rPr>
          <w:rFonts w:hint="eastAsia" w:ascii="宋体" w:hAnsi="宋体"/>
          <w:b/>
          <w:kern w:val="0"/>
        </w:rPr>
      </w:pPr>
      <w:r>
        <w:rPr>
          <w:rFonts w:hint="eastAsia" w:ascii="宋体" w:hAnsi="宋体"/>
          <w:b/>
          <w:kern w:val="0"/>
        </w:rPr>
        <w:t>3、办公协同应用需求：</w:t>
      </w:r>
    </w:p>
    <w:p>
      <w:pPr>
        <w:spacing w:line="360" w:lineRule="auto"/>
        <w:ind w:firstLine="118" w:firstLineChars="49"/>
        <w:rPr>
          <w:rFonts w:hint="eastAsia" w:ascii="宋体" w:hAnsi="宋体"/>
          <w:b/>
          <w:kern w:val="0"/>
          <w:szCs w:val="21"/>
        </w:rPr>
      </w:pPr>
      <w:r>
        <w:rPr>
          <w:rFonts w:hint="eastAsia" w:ascii="宋体" w:hAnsi="宋体"/>
          <w:b/>
          <w:kern w:val="0"/>
          <w:szCs w:val="21"/>
        </w:rPr>
        <w:t>（1）行政办公平台</w:t>
      </w:r>
    </w:p>
    <w:p>
      <w:pPr>
        <w:tabs>
          <w:tab w:val="right" w:pos="-2120"/>
        </w:tabs>
        <w:adjustRightInd w:val="0"/>
        <w:snapToGrid w:val="0"/>
        <w:spacing w:line="360" w:lineRule="auto"/>
        <w:ind w:firstLine="480"/>
        <w:rPr>
          <w:rFonts w:hint="eastAsia" w:ascii="宋体" w:hAnsi="宋体"/>
          <w:color w:val="000000"/>
          <w:kern w:val="0"/>
          <w:szCs w:val="21"/>
        </w:rPr>
      </w:pPr>
      <w:r>
        <w:rPr>
          <w:rFonts w:hint="eastAsia" w:ascii="宋体" w:hAnsi="宋体"/>
          <w:color w:val="000000"/>
          <w:szCs w:val="21"/>
        </w:rPr>
        <w:t>实现内部及职能部门各种业务工作和管理工作的电子化流转，范围覆盖纸质办公时的所有工作流程类别，各种工作流程均采用电子起草、传阅、审批、会签、签发、归档，并采用尊重员工传统办公习惯的人性化设计，真正顺利实现无纸化办公。</w:t>
      </w:r>
      <w:r>
        <w:rPr>
          <w:rFonts w:hint="eastAsia" w:ascii="宋体" w:hAnsi="宋体"/>
          <w:kern w:val="0"/>
          <w:szCs w:val="21"/>
        </w:rPr>
        <w:t>需要有固化工作流满足各种管理情景下的流程适应性的需要，同时又能够满足自定义的随机流程；</w:t>
      </w:r>
      <w:r>
        <w:rPr>
          <w:rFonts w:hint="eastAsia" w:ascii="宋体" w:hAnsi="宋体"/>
          <w:color w:val="000000"/>
          <w:kern w:val="0"/>
          <w:szCs w:val="21"/>
        </w:rPr>
        <w:t>平台还应具有对相关人员进行工作任务推送提醒机制（系统提醒、手机APP或微信提醒）；</w:t>
      </w:r>
    </w:p>
    <w:p>
      <w:pPr>
        <w:tabs>
          <w:tab w:val="right" w:pos="-2120"/>
        </w:tabs>
        <w:adjustRightInd w:val="0"/>
        <w:snapToGrid w:val="0"/>
        <w:spacing w:line="360" w:lineRule="auto"/>
        <w:ind w:firstLine="480"/>
        <w:rPr>
          <w:rFonts w:hint="eastAsia" w:ascii="宋体" w:hAnsi="宋体"/>
          <w:kern w:val="0"/>
          <w:szCs w:val="21"/>
        </w:rPr>
      </w:pPr>
      <w:r>
        <w:rPr>
          <w:rFonts w:hint="eastAsia" w:ascii="宋体" w:hAnsi="宋体"/>
          <w:color w:val="000000"/>
          <w:kern w:val="0"/>
          <w:szCs w:val="21"/>
        </w:rPr>
        <w:t>包括功能有：接待管理、会议管理、车辆管理等等综合管理性事务工作；</w:t>
      </w:r>
    </w:p>
    <w:p>
      <w:pPr>
        <w:spacing w:line="360" w:lineRule="auto"/>
        <w:ind w:firstLine="118" w:firstLineChars="49"/>
        <w:rPr>
          <w:rFonts w:hint="eastAsia" w:ascii="宋体" w:hAnsi="宋体"/>
          <w:b/>
          <w:kern w:val="0"/>
          <w:szCs w:val="21"/>
        </w:rPr>
      </w:pPr>
      <w:r>
        <w:rPr>
          <w:rFonts w:hint="eastAsia" w:ascii="宋体" w:hAnsi="宋体"/>
          <w:b/>
          <w:kern w:val="0"/>
          <w:szCs w:val="21"/>
        </w:rPr>
        <w:t>（2）公文平台</w:t>
      </w:r>
    </w:p>
    <w:p>
      <w:pPr>
        <w:tabs>
          <w:tab w:val="right" w:pos="-2120"/>
        </w:tabs>
        <w:adjustRightInd w:val="0"/>
        <w:snapToGrid w:val="0"/>
        <w:spacing w:line="360" w:lineRule="auto"/>
        <w:ind w:firstLine="480"/>
        <w:rPr>
          <w:rFonts w:hint="eastAsia" w:ascii="宋体" w:hAnsi="宋体"/>
          <w:kern w:val="0"/>
          <w:szCs w:val="21"/>
        </w:rPr>
      </w:pPr>
      <w:r>
        <w:rPr>
          <w:rFonts w:hint="eastAsia" w:ascii="宋体" w:hAnsi="宋体"/>
          <w:kern w:val="0"/>
          <w:szCs w:val="21"/>
        </w:rPr>
        <w:t>实现纸质公文完全类似的公文发文从拟稿到封发的全部过程，实现从拟稿到传发送的全过程，可以实现公文电子归档。可以自定义的流程节点名称、节点权限、节点动作，可以自定义的仿真收文单、发文单，可以自定义的公文套红模板。有文件已阅读标记，可以了解文件的实际阅读情况。可对下发文 ，实现公文流转、审核、签批等行政事务的自动处理；</w:t>
      </w:r>
    </w:p>
    <w:p>
      <w:pPr>
        <w:spacing w:line="360" w:lineRule="auto"/>
        <w:ind w:firstLine="118" w:firstLineChars="49"/>
        <w:rPr>
          <w:rFonts w:hint="eastAsia" w:ascii="宋体" w:hAnsi="宋体"/>
          <w:b/>
          <w:kern w:val="0"/>
          <w:szCs w:val="21"/>
        </w:rPr>
      </w:pPr>
      <w:r>
        <w:rPr>
          <w:rFonts w:hint="eastAsia" w:ascii="宋体" w:hAnsi="宋体"/>
          <w:b/>
          <w:kern w:val="0"/>
          <w:szCs w:val="21"/>
        </w:rPr>
        <w:t>（3）知识管理平台</w:t>
      </w:r>
    </w:p>
    <w:p>
      <w:pPr>
        <w:tabs>
          <w:tab w:val="right" w:pos="-2120"/>
        </w:tabs>
        <w:adjustRightInd w:val="0"/>
        <w:snapToGrid w:val="0"/>
        <w:spacing w:line="360" w:lineRule="auto"/>
        <w:ind w:firstLine="480"/>
        <w:rPr>
          <w:rFonts w:hint="eastAsia" w:ascii="宋体" w:hAnsi="宋体"/>
          <w:kern w:val="0"/>
          <w:szCs w:val="21"/>
        </w:rPr>
      </w:pPr>
      <w:r>
        <w:rPr>
          <w:rFonts w:hint="eastAsia" w:ascii="宋体" w:hAnsi="宋体"/>
          <w:kern w:val="0"/>
          <w:szCs w:val="21"/>
        </w:rPr>
        <w:t>建立规范的各种工作和业务资料，形成制度汇编、标准汇编，包括不同格式文件和多媒体资料，各部门将动态信息通过采编上传系统分类，编辑成册。实现太极实业股份、各部门之间、以及各子公司的信息汇总与动态信息传递，对各种业务资料库设置权限（控制到每篇文件的查阅、下载、打印、复制、编辑权限，配合流程申请查阅及文件过程的版本记录）供阅研。以此推动内部知识积淀体系建设，提升知识共享和再利用率。同时能够支持员工的在线学习。文档型知识可以实现无限层级知识目录和文档目录，方便对知识进行归纳、管理和授权。提供完善的文档查询方式，可以方便地进行快速查询。建立在线的员工社区，支持所有员工内部交流，互帮互助；</w:t>
      </w:r>
    </w:p>
    <w:p>
      <w:pPr>
        <w:spacing w:line="360" w:lineRule="auto"/>
        <w:ind w:firstLine="118" w:firstLineChars="49"/>
        <w:rPr>
          <w:rFonts w:hint="eastAsia" w:ascii="宋体" w:hAnsi="宋体"/>
          <w:b/>
          <w:kern w:val="0"/>
          <w:szCs w:val="21"/>
        </w:rPr>
      </w:pPr>
      <w:r>
        <w:rPr>
          <w:rFonts w:hint="eastAsia" w:ascii="宋体" w:hAnsi="宋体"/>
          <w:b/>
          <w:kern w:val="0"/>
          <w:szCs w:val="21"/>
        </w:rPr>
        <w:t>（4）信息发布平台</w:t>
      </w:r>
    </w:p>
    <w:p>
      <w:pPr>
        <w:tabs>
          <w:tab w:val="right" w:pos="-2120"/>
        </w:tabs>
        <w:adjustRightInd w:val="0"/>
        <w:snapToGrid w:val="0"/>
        <w:spacing w:line="360" w:lineRule="auto"/>
        <w:ind w:firstLine="480"/>
        <w:rPr>
          <w:rFonts w:hint="eastAsia" w:ascii="宋体" w:hAnsi="宋体" w:eastAsia="宋体"/>
          <w:kern w:val="0"/>
          <w:szCs w:val="21"/>
          <w:lang w:eastAsia="zh-CN"/>
        </w:rPr>
      </w:pPr>
      <w:r>
        <w:rPr>
          <w:rFonts w:hint="eastAsia" w:ascii="宋体" w:hAnsi="宋体"/>
          <w:kern w:val="0"/>
          <w:szCs w:val="21"/>
        </w:rPr>
        <w:t>支持公司的信息发布（通知、公告、新闻等），对于发布到门户、外部窗口信息需可通过流程审批后发布</w:t>
      </w:r>
      <w:r>
        <w:rPr>
          <w:rFonts w:hint="eastAsia" w:ascii="宋体" w:hAnsi="宋体"/>
          <w:kern w:val="0"/>
          <w:szCs w:val="21"/>
          <w:lang w:eastAsia="zh-CN"/>
        </w:rPr>
        <w:t>。</w:t>
      </w:r>
    </w:p>
    <w:p>
      <w:pPr>
        <w:spacing w:line="360" w:lineRule="auto"/>
        <w:ind w:firstLine="118" w:firstLineChars="49"/>
        <w:rPr>
          <w:rFonts w:hint="eastAsia" w:ascii="宋体" w:hAnsi="宋体"/>
          <w:b/>
          <w:kern w:val="0"/>
          <w:szCs w:val="21"/>
        </w:rPr>
      </w:pPr>
      <w:r>
        <w:rPr>
          <w:rFonts w:hint="eastAsia" w:ascii="宋体" w:hAnsi="宋体"/>
          <w:b/>
          <w:kern w:val="0"/>
          <w:szCs w:val="21"/>
        </w:rPr>
        <w:t>（5）即时通讯平台</w:t>
      </w:r>
    </w:p>
    <w:p>
      <w:pPr>
        <w:tabs>
          <w:tab w:val="right" w:pos="-2120"/>
        </w:tabs>
        <w:adjustRightInd w:val="0"/>
        <w:snapToGrid w:val="0"/>
        <w:spacing w:line="360" w:lineRule="auto"/>
        <w:ind w:firstLine="357" w:firstLineChars="149"/>
        <w:rPr>
          <w:rFonts w:hint="eastAsia" w:ascii="宋体" w:hAnsi="宋体"/>
          <w:kern w:val="0"/>
          <w:szCs w:val="21"/>
        </w:rPr>
      </w:pPr>
      <w:r>
        <w:rPr>
          <w:rFonts w:hint="eastAsia" w:ascii="宋体" w:hAnsi="宋体"/>
          <w:color w:val="000000"/>
          <w:szCs w:val="21"/>
        </w:rPr>
        <w:t>建立企业专属的强大即时通讯平台。不仅保留个人软件操作简单的特点，还根据企业实际管理需求增加各种实用功能，类似企业IM通讯工具；</w:t>
      </w:r>
    </w:p>
    <w:p>
      <w:pPr>
        <w:spacing w:line="360" w:lineRule="auto"/>
        <w:ind w:firstLine="118" w:firstLineChars="49"/>
        <w:rPr>
          <w:rFonts w:hint="eastAsia" w:ascii="宋体" w:hAnsi="宋体"/>
          <w:b/>
          <w:kern w:val="0"/>
          <w:szCs w:val="21"/>
        </w:rPr>
      </w:pPr>
      <w:r>
        <w:rPr>
          <w:rFonts w:hint="eastAsia" w:ascii="宋体" w:hAnsi="宋体"/>
          <w:b/>
          <w:kern w:val="0"/>
          <w:szCs w:val="21"/>
        </w:rPr>
        <w:t>（6）流程平台</w:t>
      </w:r>
    </w:p>
    <w:p>
      <w:pPr>
        <w:spacing w:line="360" w:lineRule="auto"/>
        <w:ind w:firstLine="0" w:firstLineChars="0"/>
        <w:rPr>
          <w:rFonts w:hint="eastAsia" w:ascii="宋体" w:hAnsi="宋体"/>
          <w:kern w:val="0"/>
          <w:szCs w:val="21"/>
        </w:rPr>
      </w:pPr>
      <w:r>
        <w:rPr>
          <w:rFonts w:hint="eastAsia" w:ascii="宋体" w:hAnsi="宋体"/>
          <w:kern w:val="0"/>
          <w:szCs w:val="21"/>
        </w:rPr>
        <w:t>a)</w:t>
      </w:r>
      <w:r>
        <w:rPr>
          <w:rFonts w:hint="eastAsia" w:ascii="宋体" w:hAnsi="宋体"/>
          <w:kern w:val="0"/>
          <w:szCs w:val="21"/>
        </w:rPr>
        <w:tab/>
      </w:r>
      <w:r>
        <w:rPr>
          <w:rFonts w:hint="eastAsia" w:ascii="宋体" w:hAnsi="宋体"/>
          <w:kern w:val="0"/>
          <w:szCs w:val="21"/>
        </w:rPr>
        <w:t>支持无限制的组织架构，能自定义每个流程用户对流程每个节点的权限。</w:t>
      </w:r>
      <w:r>
        <w:rPr>
          <w:rFonts w:hint="eastAsia" w:ascii="宋体" w:hAnsi="宋体"/>
          <w:kern w:val="0"/>
          <w:szCs w:val="21"/>
        </w:rPr>
        <w:cr/>
      </w:r>
      <w:r>
        <w:rPr>
          <w:rFonts w:hint="eastAsia" w:ascii="宋体" w:hAnsi="宋体"/>
          <w:kern w:val="0"/>
          <w:szCs w:val="21"/>
        </w:rPr>
        <w:t>b)</w:t>
      </w:r>
      <w:r>
        <w:rPr>
          <w:rFonts w:hint="eastAsia" w:ascii="宋体" w:hAnsi="宋体"/>
          <w:kern w:val="0"/>
          <w:szCs w:val="21"/>
        </w:rPr>
        <w:tab/>
      </w:r>
      <w:r>
        <w:rPr>
          <w:rFonts w:hint="eastAsia" w:ascii="宋体" w:hAnsi="宋体"/>
          <w:kern w:val="0"/>
          <w:szCs w:val="21"/>
        </w:rPr>
        <w:t>流程设置完全可视化配置，流程中的每个节点可以按照多维度定义处理人员。</w:t>
      </w:r>
      <w:r>
        <w:rPr>
          <w:rFonts w:hint="eastAsia" w:ascii="宋体" w:hAnsi="宋体"/>
          <w:kern w:val="0"/>
          <w:szCs w:val="21"/>
        </w:rPr>
        <w:cr/>
      </w:r>
      <w:r>
        <w:rPr>
          <w:rFonts w:hint="eastAsia" w:ascii="宋体" w:hAnsi="宋体"/>
          <w:kern w:val="0"/>
          <w:szCs w:val="21"/>
        </w:rPr>
        <w:t>c)</w:t>
      </w:r>
      <w:r>
        <w:rPr>
          <w:rFonts w:hint="eastAsia" w:ascii="宋体" w:hAnsi="宋体"/>
          <w:kern w:val="0"/>
          <w:szCs w:val="21"/>
        </w:rPr>
        <w:tab/>
      </w:r>
      <w:r>
        <w:rPr>
          <w:rFonts w:hint="eastAsia" w:ascii="宋体" w:hAnsi="宋体"/>
          <w:kern w:val="0"/>
          <w:szCs w:val="21"/>
        </w:rPr>
        <w:t>流程节点支持加签、跳签、会签功能。</w:t>
      </w:r>
      <w:r>
        <w:rPr>
          <w:rFonts w:hint="eastAsia" w:ascii="宋体" w:hAnsi="宋体"/>
          <w:kern w:val="0"/>
          <w:szCs w:val="21"/>
        </w:rPr>
        <w:cr/>
      </w:r>
      <w:r>
        <w:rPr>
          <w:rFonts w:hint="eastAsia" w:ascii="宋体" w:hAnsi="宋体"/>
          <w:kern w:val="0"/>
          <w:szCs w:val="21"/>
        </w:rPr>
        <w:t>d)</w:t>
      </w:r>
      <w:r>
        <w:rPr>
          <w:rFonts w:hint="eastAsia" w:ascii="宋体" w:hAnsi="宋体"/>
          <w:kern w:val="0"/>
          <w:szCs w:val="21"/>
        </w:rPr>
        <w:tab/>
      </w:r>
      <w:r>
        <w:rPr>
          <w:rFonts w:hint="eastAsia" w:ascii="宋体" w:hAnsi="宋体"/>
          <w:kern w:val="0"/>
          <w:szCs w:val="21"/>
        </w:rPr>
        <w:t>无缝集成电子签章控件，客户机无需安装电子签章客户端就能在流程中使用电子签章软件。</w:t>
      </w:r>
      <w:r>
        <w:rPr>
          <w:rFonts w:hint="eastAsia" w:ascii="宋体" w:hAnsi="宋体"/>
          <w:kern w:val="0"/>
          <w:szCs w:val="21"/>
        </w:rPr>
        <w:cr/>
      </w:r>
      <w:r>
        <w:rPr>
          <w:rFonts w:hint="eastAsia" w:ascii="宋体" w:hAnsi="宋体"/>
          <w:kern w:val="0"/>
          <w:szCs w:val="21"/>
        </w:rPr>
        <w:t>e)</w:t>
      </w:r>
      <w:r>
        <w:rPr>
          <w:rFonts w:hint="eastAsia" w:ascii="宋体" w:hAnsi="宋体"/>
          <w:kern w:val="0"/>
          <w:szCs w:val="21"/>
        </w:rPr>
        <w:tab/>
      </w:r>
      <w:r>
        <w:rPr>
          <w:rFonts w:hint="eastAsia" w:ascii="宋体" w:hAnsi="宋体"/>
          <w:kern w:val="0"/>
          <w:szCs w:val="21"/>
        </w:rPr>
        <w:t>无缝集成微软office文件控件，流程中涉及的附件文档可以直接在流程中修改，无需再次上传附件。</w:t>
      </w:r>
      <w:r>
        <w:rPr>
          <w:rFonts w:hint="eastAsia" w:ascii="宋体" w:hAnsi="宋体"/>
          <w:kern w:val="0"/>
          <w:szCs w:val="21"/>
        </w:rPr>
        <w:cr/>
      </w:r>
      <w:r>
        <w:rPr>
          <w:rFonts w:hint="eastAsia" w:ascii="宋体" w:hAnsi="宋体"/>
          <w:kern w:val="0"/>
          <w:szCs w:val="21"/>
        </w:rPr>
        <w:t>f)</w:t>
      </w:r>
      <w:r>
        <w:rPr>
          <w:rFonts w:hint="eastAsia" w:ascii="宋体" w:hAnsi="宋体"/>
          <w:kern w:val="0"/>
          <w:szCs w:val="21"/>
        </w:rPr>
        <w:tab/>
      </w:r>
      <w:r>
        <w:rPr>
          <w:rFonts w:hint="eastAsia" w:ascii="宋体" w:hAnsi="宋体"/>
          <w:kern w:val="0"/>
          <w:szCs w:val="21"/>
        </w:rPr>
        <w:t>流程节点可以自定义从其他系统实时抓取需要的数据，并显示。</w:t>
      </w:r>
      <w:r>
        <w:rPr>
          <w:rFonts w:hint="eastAsia" w:ascii="宋体" w:hAnsi="宋体"/>
          <w:kern w:val="0"/>
          <w:szCs w:val="21"/>
        </w:rPr>
        <w:cr/>
      </w:r>
      <w:r>
        <w:rPr>
          <w:rFonts w:hint="eastAsia" w:ascii="宋体" w:hAnsi="宋体"/>
          <w:kern w:val="0"/>
          <w:szCs w:val="21"/>
        </w:rPr>
        <w:t>g)</w:t>
      </w:r>
      <w:r>
        <w:rPr>
          <w:rFonts w:hint="eastAsia" w:ascii="宋体" w:hAnsi="宋体"/>
          <w:kern w:val="0"/>
          <w:szCs w:val="21"/>
        </w:rPr>
        <w:tab/>
      </w:r>
      <w:r>
        <w:rPr>
          <w:rFonts w:hint="eastAsia" w:ascii="宋体" w:hAnsi="宋体"/>
          <w:kern w:val="0"/>
          <w:szCs w:val="21"/>
        </w:rPr>
        <w:t>流程中涉及的表单可以方便的自定义，最后形成的数据可以在数据库中归档，并在其他系统中抓取。</w:t>
      </w:r>
      <w:r>
        <w:rPr>
          <w:rFonts w:hint="eastAsia" w:ascii="宋体" w:hAnsi="宋体"/>
          <w:kern w:val="0"/>
          <w:szCs w:val="21"/>
        </w:rPr>
        <w:cr/>
      </w:r>
      <w:r>
        <w:rPr>
          <w:rFonts w:hint="eastAsia" w:ascii="宋体" w:hAnsi="宋体"/>
          <w:kern w:val="0"/>
          <w:szCs w:val="21"/>
        </w:rPr>
        <w:t>h)</w:t>
      </w:r>
      <w:r>
        <w:rPr>
          <w:rFonts w:hint="eastAsia" w:ascii="宋体" w:hAnsi="宋体"/>
          <w:kern w:val="0"/>
          <w:szCs w:val="21"/>
        </w:rPr>
        <w:tab/>
      </w:r>
      <w:r>
        <w:rPr>
          <w:rFonts w:hint="eastAsia" w:ascii="宋体" w:hAnsi="宋体"/>
          <w:kern w:val="0"/>
          <w:szCs w:val="21"/>
        </w:rPr>
        <w:t>流程中明细数据输入，支持excel文件导入，减少人为的输入工作量。</w:t>
      </w:r>
      <w:r>
        <w:rPr>
          <w:rFonts w:hint="eastAsia" w:ascii="宋体" w:hAnsi="宋体"/>
          <w:kern w:val="0"/>
          <w:szCs w:val="21"/>
        </w:rPr>
        <w:cr/>
      </w:r>
      <w:r>
        <w:rPr>
          <w:rFonts w:hint="eastAsia" w:ascii="宋体" w:hAnsi="宋体"/>
          <w:kern w:val="0"/>
          <w:szCs w:val="21"/>
        </w:rPr>
        <w:t>i)</w:t>
      </w:r>
      <w:r>
        <w:rPr>
          <w:rFonts w:hint="eastAsia" w:ascii="宋体" w:hAnsi="宋体"/>
          <w:kern w:val="0"/>
          <w:szCs w:val="21"/>
        </w:rPr>
        <w:tab/>
      </w:r>
      <w:r>
        <w:rPr>
          <w:rFonts w:hint="eastAsia" w:ascii="宋体" w:hAnsi="宋体"/>
          <w:kern w:val="0"/>
          <w:szCs w:val="21"/>
        </w:rPr>
        <w:t>流程中涉及到的各种文档，可以在流程结束后自动归档到知识管理系统，并设定相应的权限。</w:t>
      </w:r>
      <w:r>
        <w:rPr>
          <w:rFonts w:hint="eastAsia" w:ascii="宋体" w:hAnsi="宋体"/>
          <w:kern w:val="0"/>
          <w:szCs w:val="21"/>
        </w:rPr>
        <w:cr/>
      </w:r>
      <w:r>
        <w:rPr>
          <w:rFonts w:hint="eastAsia" w:ascii="宋体" w:hAnsi="宋体"/>
          <w:kern w:val="0"/>
          <w:szCs w:val="21"/>
        </w:rPr>
        <w:t>j)</w:t>
      </w:r>
      <w:r>
        <w:rPr>
          <w:rFonts w:hint="eastAsia" w:ascii="宋体" w:hAnsi="宋体"/>
          <w:kern w:val="0"/>
          <w:szCs w:val="21"/>
        </w:rPr>
        <w:tab/>
      </w:r>
      <w:r>
        <w:rPr>
          <w:rFonts w:hint="eastAsia" w:ascii="宋体" w:hAnsi="宋体"/>
          <w:kern w:val="0"/>
          <w:szCs w:val="21"/>
        </w:rPr>
        <w:t>流程在运行过程中，每个使用人员都能按权限看到流程的流转图表，并能够看到批示意见，以及每步的处理时间。</w:t>
      </w:r>
      <w:r>
        <w:rPr>
          <w:rFonts w:hint="eastAsia" w:ascii="宋体" w:hAnsi="宋体"/>
          <w:kern w:val="0"/>
          <w:szCs w:val="21"/>
        </w:rPr>
        <w:cr/>
      </w:r>
      <w:r>
        <w:rPr>
          <w:rFonts w:hint="eastAsia" w:ascii="宋体" w:hAnsi="宋体"/>
          <w:kern w:val="0"/>
          <w:szCs w:val="21"/>
        </w:rPr>
        <w:t>k)</w:t>
      </w:r>
      <w:r>
        <w:rPr>
          <w:rFonts w:hint="eastAsia" w:ascii="宋体" w:hAnsi="宋体"/>
          <w:kern w:val="0"/>
          <w:szCs w:val="21"/>
        </w:rPr>
        <w:tab/>
      </w:r>
      <w:r>
        <w:rPr>
          <w:rFonts w:hint="eastAsia" w:ascii="宋体" w:hAnsi="宋体"/>
          <w:kern w:val="0"/>
          <w:szCs w:val="21"/>
        </w:rPr>
        <w:t>流程的查询可以按处理时间、到达时间、标题、已处理、未处理等查询，并根据权限列表显示，每次查询平均响应时间在5秒以内，并能够自定义字段进行排序。</w:t>
      </w:r>
      <w:r>
        <w:rPr>
          <w:rFonts w:hint="eastAsia" w:ascii="宋体" w:hAnsi="宋体"/>
          <w:kern w:val="0"/>
          <w:szCs w:val="21"/>
        </w:rPr>
        <w:cr/>
      </w:r>
      <w:r>
        <w:rPr>
          <w:rFonts w:hint="eastAsia" w:ascii="宋体" w:hAnsi="宋体"/>
          <w:kern w:val="0"/>
          <w:szCs w:val="21"/>
        </w:rPr>
        <w:t>l)</w:t>
      </w:r>
      <w:r>
        <w:rPr>
          <w:rFonts w:hint="eastAsia" w:ascii="宋体" w:hAnsi="宋体"/>
          <w:kern w:val="0"/>
          <w:szCs w:val="21"/>
        </w:rPr>
        <w:tab/>
      </w:r>
      <w:r>
        <w:rPr>
          <w:rFonts w:hint="eastAsia" w:ascii="宋体" w:hAnsi="宋体"/>
          <w:kern w:val="0"/>
          <w:szCs w:val="21"/>
        </w:rPr>
        <w:t>流程可以设定跳转，在流程处理过程中允许对紧急或特殊流程因节点人员不能及时处理而进行跳转。</w:t>
      </w:r>
      <w:r>
        <w:rPr>
          <w:rFonts w:hint="eastAsia" w:ascii="宋体" w:hAnsi="宋体"/>
          <w:kern w:val="0"/>
          <w:szCs w:val="21"/>
        </w:rPr>
        <w:cr/>
      </w:r>
      <w:r>
        <w:rPr>
          <w:rFonts w:hint="eastAsia" w:ascii="宋体" w:hAnsi="宋体"/>
          <w:kern w:val="0"/>
          <w:szCs w:val="21"/>
        </w:rPr>
        <w:t>m)</w:t>
      </w:r>
      <w:r>
        <w:rPr>
          <w:rFonts w:hint="eastAsia" w:ascii="宋体" w:hAnsi="宋体"/>
          <w:kern w:val="0"/>
          <w:szCs w:val="21"/>
        </w:rPr>
        <w:tab/>
      </w:r>
      <w:r>
        <w:rPr>
          <w:rFonts w:hint="eastAsia" w:ascii="宋体" w:hAnsi="宋体"/>
          <w:kern w:val="0"/>
          <w:szCs w:val="21"/>
        </w:rPr>
        <w:t>浏览过、未处理的流程也能够和其他未浏览过的流程通过标识等方式区分开来。</w:t>
      </w:r>
      <w:r>
        <w:rPr>
          <w:rFonts w:hint="eastAsia" w:ascii="宋体" w:hAnsi="宋体"/>
          <w:kern w:val="0"/>
          <w:szCs w:val="21"/>
        </w:rPr>
        <w:cr/>
      </w:r>
      <w:r>
        <w:rPr>
          <w:rFonts w:hint="eastAsia" w:ascii="宋体" w:hAnsi="宋体"/>
          <w:kern w:val="0"/>
          <w:szCs w:val="21"/>
        </w:rPr>
        <w:t>n)</w:t>
      </w:r>
      <w:r>
        <w:rPr>
          <w:rFonts w:hint="eastAsia" w:ascii="宋体" w:hAnsi="宋体"/>
          <w:kern w:val="0"/>
          <w:szCs w:val="21"/>
        </w:rPr>
        <w:tab/>
      </w:r>
      <w:r>
        <w:rPr>
          <w:rFonts w:hint="eastAsia" w:ascii="宋体" w:hAnsi="宋体"/>
          <w:kern w:val="0"/>
          <w:szCs w:val="21"/>
        </w:rPr>
        <w:t>能实现流程处理时间、查看时间等各项统计报表。</w:t>
      </w:r>
      <w:r>
        <w:rPr>
          <w:rFonts w:hint="eastAsia" w:ascii="宋体" w:hAnsi="宋体"/>
          <w:kern w:val="0"/>
          <w:szCs w:val="21"/>
        </w:rPr>
        <w:cr/>
      </w:r>
      <w:r>
        <w:rPr>
          <w:rFonts w:hint="eastAsia" w:ascii="宋体" w:hAnsi="宋体"/>
          <w:kern w:val="0"/>
          <w:szCs w:val="21"/>
        </w:rPr>
        <w:t>o)</w:t>
      </w:r>
      <w:r>
        <w:rPr>
          <w:rFonts w:hint="eastAsia" w:ascii="宋体" w:hAnsi="宋体"/>
          <w:kern w:val="0"/>
          <w:szCs w:val="21"/>
        </w:rPr>
        <w:tab/>
      </w:r>
      <w:r>
        <w:rPr>
          <w:rFonts w:hint="eastAsia" w:ascii="宋体" w:hAnsi="宋体"/>
          <w:kern w:val="0"/>
          <w:szCs w:val="21"/>
        </w:rPr>
        <w:t>能够实现与短信的集成功能，关键流程节点自动短信提醒。</w:t>
      </w:r>
      <w:r>
        <w:rPr>
          <w:rFonts w:hint="eastAsia" w:ascii="宋体" w:hAnsi="宋体"/>
          <w:kern w:val="0"/>
          <w:szCs w:val="21"/>
        </w:rPr>
        <w:cr/>
      </w:r>
      <w:r>
        <w:rPr>
          <w:rFonts w:hint="eastAsia" w:ascii="宋体" w:hAnsi="宋体"/>
          <w:kern w:val="0"/>
          <w:szCs w:val="21"/>
        </w:rPr>
        <w:t>p)</w:t>
      </w:r>
      <w:r>
        <w:rPr>
          <w:rFonts w:hint="eastAsia" w:ascii="宋体" w:hAnsi="宋体"/>
          <w:kern w:val="0"/>
          <w:szCs w:val="21"/>
        </w:rPr>
        <w:tab/>
      </w:r>
      <w:r>
        <w:rPr>
          <w:rFonts w:hint="eastAsia" w:ascii="宋体" w:hAnsi="宋体"/>
          <w:kern w:val="0"/>
          <w:szCs w:val="21"/>
        </w:rPr>
        <w:t>流程超时提醒和跳转，关键流程能实现设置一定时间未处理即自动下行到下一节点或者上报到本节点处理人的上级处理。</w:t>
      </w:r>
      <w:r>
        <w:rPr>
          <w:rFonts w:hint="eastAsia" w:ascii="宋体" w:hAnsi="宋体"/>
          <w:kern w:val="0"/>
          <w:szCs w:val="21"/>
        </w:rPr>
        <w:cr/>
      </w:r>
      <w:r>
        <w:rPr>
          <w:rFonts w:hint="eastAsia" w:ascii="宋体" w:hAnsi="宋体"/>
          <w:kern w:val="0"/>
          <w:szCs w:val="21"/>
        </w:rPr>
        <w:t>q)</w:t>
      </w:r>
      <w:r>
        <w:rPr>
          <w:rFonts w:hint="eastAsia" w:ascii="宋体" w:hAnsi="宋体"/>
          <w:kern w:val="0"/>
          <w:szCs w:val="21"/>
        </w:rPr>
        <w:tab/>
      </w:r>
      <w:r>
        <w:rPr>
          <w:rFonts w:hint="eastAsia" w:ascii="宋体" w:hAnsi="宋体"/>
          <w:kern w:val="0"/>
          <w:szCs w:val="21"/>
        </w:rPr>
        <w:t>流程监控，结合权限对流程可查看和监控 。</w:t>
      </w:r>
      <w:r>
        <w:rPr>
          <w:rFonts w:hint="eastAsia" w:ascii="宋体" w:hAnsi="宋体"/>
          <w:kern w:val="0"/>
          <w:szCs w:val="21"/>
        </w:rPr>
        <w:cr/>
      </w:r>
      <w:r>
        <w:rPr>
          <w:rFonts w:hint="eastAsia" w:ascii="宋体" w:hAnsi="宋体"/>
          <w:kern w:val="0"/>
          <w:szCs w:val="21"/>
        </w:rPr>
        <w:t>r)</w:t>
      </w:r>
      <w:r>
        <w:rPr>
          <w:rFonts w:hint="eastAsia" w:ascii="宋体" w:hAnsi="宋体"/>
          <w:kern w:val="0"/>
          <w:szCs w:val="21"/>
        </w:rPr>
        <w:tab/>
      </w:r>
      <w:r>
        <w:rPr>
          <w:rFonts w:hint="eastAsia" w:ascii="宋体" w:hAnsi="宋体"/>
          <w:kern w:val="0"/>
          <w:szCs w:val="21"/>
        </w:rPr>
        <w:t>流程触发，在流程应用中可设置母子流程触发，以及可将数据自动在触发时联动给到子流程。</w:t>
      </w:r>
      <w:r>
        <w:rPr>
          <w:rFonts w:hint="eastAsia" w:ascii="宋体" w:hAnsi="宋体"/>
          <w:kern w:val="0"/>
          <w:szCs w:val="21"/>
        </w:rPr>
        <w:cr/>
      </w:r>
      <w:r>
        <w:rPr>
          <w:rFonts w:hint="eastAsia" w:ascii="宋体" w:hAnsi="宋体"/>
          <w:kern w:val="0"/>
          <w:szCs w:val="21"/>
        </w:rPr>
        <w:t>s)</w:t>
      </w:r>
      <w:r>
        <w:rPr>
          <w:rFonts w:hint="eastAsia" w:ascii="宋体" w:hAnsi="宋体"/>
          <w:kern w:val="0"/>
          <w:szCs w:val="21"/>
        </w:rPr>
        <w:tab/>
      </w:r>
      <w:r>
        <w:rPr>
          <w:rFonts w:hint="eastAsia" w:ascii="宋体" w:hAnsi="宋体"/>
          <w:kern w:val="0"/>
          <w:szCs w:val="21"/>
        </w:rPr>
        <w:t>流程表单支持 HTML格式编辑，表单可设计背景图，在HTML表单中可以进行数据的抓取和联动等。</w:t>
      </w:r>
    </w:p>
    <w:p>
      <w:pPr>
        <w:spacing w:line="360" w:lineRule="auto"/>
        <w:ind w:firstLine="0" w:firstLineChars="0"/>
        <w:rPr>
          <w:rFonts w:hint="eastAsia" w:ascii="宋体" w:hAnsi="宋体"/>
          <w:kern w:val="0"/>
          <w:szCs w:val="21"/>
        </w:rPr>
      </w:pPr>
      <w:r>
        <w:rPr>
          <w:rFonts w:ascii="宋体" w:hAnsi="宋体"/>
          <w:kern w:val="0"/>
          <w:szCs w:val="21"/>
        </w:rPr>
        <w:t>T</w:t>
      </w:r>
      <w:r>
        <w:rPr>
          <w:rFonts w:hint="eastAsia" w:ascii="宋体" w:hAnsi="宋体"/>
          <w:kern w:val="0"/>
          <w:szCs w:val="21"/>
        </w:rPr>
        <w:t>)流程表单也要可以控制到每一个字段的权限，不同节点操作人 操作对应的 表单（表格）字段。</w:t>
      </w:r>
      <w:r>
        <w:rPr>
          <w:rFonts w:hint="eastAsia" w:ascii="宋体" w:hAnsi="宋体"/>
          <w:kern w:val="0"/>
          <w:szCs w:val="21"/>
        </w:rPr>
        <w:cr/>
      </w:r>
      <w:r>
        <w:rPr>
          <w:rFonts w:hint="eastAsia" w:ascii="宋体" w:hAnsi="宋体"/>
          <w:kern w:val="0"/>
          <w:szCs w:val="21"/>
        </w:rPr>
        <w:t>O）支持流程中多维组织结构的节点应用，矩阵化的流程操作节点应用；方便组织变动带来的流程维护便捷性；</w:t>
      </w:r>
    </w:p>
    <w:p>
      <w:pPr>
        <w:spacing w:line="360" w:lineRule="auto"/>
        <w:ind w:firstLine="0" w:firstLineChars="0"/>
        <w:rPr>
          <w:rFonts w:hint="eastAsia" w:ascii="宋体" w:hAnsi="宋体"/>
          <w:kern w:val="0"/>
          <w:szCs w:val="21"/>
        </w:rPr>
      </w:pPr>
      <w:r>
        <w:rPr>
          <w:rFonts w:hint="eastAsia" w:ascii="宋体" w:hAnsi="宋体"/>
          <w:kern w:val="0"/>
          <w:szCs w:val="21"/>
        </w:rPr>
        <w:t>P）重点需提供流程的快捷维护功能，应对组织调整、人员岗位调整，一键式维护；</w:t>
      </w:r>
    </w:p>
    <w:p>
      <w:pPr>
        <w:spacing w:line="360" w:lineRule="auto"/>
        <w:ind w:firstLine="0" w:firstLineChars="0"/>
        <w:rPr>
          <w:rFonts w:hint="eastAsia" w:ascii="宋体" w:hAnsi="宋体"/>
          <w:kern w:val="0"/>
          <w:szCs w:val="21"/>
        </w:rPr>
      </w:pPr>
      <w:r>
        <w:rPr>
          <w:rFonts w:hint="eastAsia" w:ascii="宋体" w:hAnsi="宋体"/>
          <w:kern w:val="0"/>
          <w:szCs w:val="21"/>
        </w:rPr>
        <w:t>Q）表单设计和流程图设计完全可视化：支持EXCEL表单导入式表单设计，支持流程泳道图，立体化流程层级走向设计；</w:t>
      </w:r>
    </w:p>
    <w:p>
      <w:pPr>
        <w:spacing w:line="360" w:lineRule="auto"/>
        <w:ind w:firstLine="0" w:firstLineChars="0"/>
        <w:rPr>
          <w:rFonts w:hint="eastAsia" w:ascii="宋体" w:hAnsi="宋体"/>
          <w:kern w:val="0"/>
          <w:szCs w:val="21"/>
        </w:rPr>
      </w:pPr>
      <w:r>
        <w:rPr>
          <w:rFonts w:hint="eastAsia" w:ascii="宋体" w:hAnsi="宋体"/>
          <w:kern w:val="0"/>
          <w:szCs w:val="21"/>
        </w:rPr>
        <w:t>R）支持流程数据的统计分析，流程效率分析；</w:t>
      </w:r>
    </w:p>
    <w:p>
      <w:pPr>
        <w:spacing w:line="360" w:lineRule="auto"/>
        <w:ind w:firstLine="0" w:firstLineChars="0"/>
        <w:rPr>
          <w:rFonts w:hint="eastAsia" w:ascii="宋体" w:hAnsi="宋体"/>
          <w:kern w:val="0"/>
          <w:szCs w:val="21"/>
        </w:rPr>
      </w:pPr>
    </w:p>
    <w:p>
      <w:pPr>
        <w:spacing w:line="360" w:lineRule="auto"/>
        <w:ind w:firstLine="0" w:firstLineChars="0"/>
        <w:rPr>
          <w:rFonts w:hint="eastAsia" w:ascii="宋体" w:hAnsi="宋体"/>
          <w:kern w:val="0"/>
          <w:szCs w:val="21"/>
        </w:rPr>
      </w:pPr>
      <w:r>
        <w:rPr>
          <w:rFonts w:hint="eastAsia" w:ascii="宋体" w:hAnsi="宋体"/>
          <w:b/>
          <w:kern w:val="0"/>
          <w:szCs w:val="21"/>
        </w:rPr>
        <w:t>（7）组织基础信息管理</w:t>
      </w:r>
    </w:p>
    <w:p>
      <w:pPr>
        <w:spacing w:line="300" w:lineRule="auto"/>
        <w:ind w:firstLine="480"/>
        <w:rPr>
          <w:rFonts w:hint="eastAsia" w:hAnsi="宋体" w:cs="楷体_GB2312"/>
          <w:kern w:val="0"/>
          <w:szCs w:val="21"/>
        </w:rPr>
      </w:pPr>
      <w:r>
        <w:rPr>
          <w:rFonts w:hint="eastAsia" w:hAnsi="宋体" w:cs="楷体_GB2312"/>
          <w:kern w:val="0"/>
          <w:szCs w:val="21"/>
        </w:rPr>
        <w:t>提供方便的系统组织信息管理，如：组织结构管理、员工信息管理、员工变动管理、流程化</w:t>
      </w:r>
      <w:r>
        <w:rPr>
          <w:rFonts w:hint="eastAsia" w:ascii="宋体" w:hAnsi="宋体"/>
          <w:szCs w:val="21"/>
        </w:rPr>
        <w:t>绩效考核审批</w:t>
      </w:r>
      <w:r>
        <w:rPr>
          <w:rFonts w:hint="eastAsia" w:hAnsi="宋体" w:cs="楷体_GB2312"/>
          <w:kern w:val="0"/>
          <w:szCs w:val="21"/>
        </w:rPr>
        <w:t>管理、人事分析与报表；</w:t>
      </w:r>
    </w:p>
    <w:p>
      <w:pPr>
        <w:spacing w:line="360" w:lineRule="auto"/>
        <w:ind w:firstLine="0" w:firstLineChars="0"/>
        <w:rPr>
          <w:rFonts w:hint="eastAsia" w:ascii="宋体" w:hAnsi="宋体"/>
          <w:kern w:val="0"/>
          <w:szCs w:val="21"/>
        </w:rPr>
      </w:pPr>
    </w:p>
    <w:p>
      <w:pPr>
        <w:spacing w:line="360" w:lineRule="auto"/>
        <w:ind w:firstLine="0" w:firstLineChars="0"/>
        <w:rPr>
          <w:rFonts w:hint="eastAsia" w:ascii="宋体" w:hAnsi="宋体"/>
          <w:kern w:val="0"/>
          <w:szCs w:val="21"/>
        </w:rPr>
      </w:pPr>
      <w:r>
        <w:rPr>
          <w:rFonts w:hint="eastAsia" w:ascii="宋体" w:hAnsi="宋体"/>
          <w:b/>
          <w:kern w:val="0"/>
          <w:szCs w:val="21"/>
        </w:rPr>
        <w:t>（8）数据中心平台</w:t>
      </w:r>
    </w:p>
    <w:p>
      <w:pPr>
        <w:spacing w:line="360" w:lineRule="auto"/>
        <w:ind w:firstLine="480"/>
        <w:rPr>
          <w:rFonts w:hint="eastAsia" w:ascii="宋体" w:hAnsi="宋体"/>
          <w:szCs w:val="21"/>
        </w:rPr>
      </w:pPr>
      <w:r>
        <w:rPr>
          <w:rFonts w:hint="eastAsia" w:ascii="宋体" w:hAnsi="宋体"/>
          <w:kern w:val="0"/>
          <w:szCs w:val="21"/>
        </w:rPr>
        <w:t>数据中心管理主要用于与</w:t>
      </w:r>
      <w:r>
        <w:rPr>
          <w:rFonts w:hint="eastAsia" w:ascii="宋体" w:hAnsi="宋体"/>
          <w:kern w:val="0"/>
          <w:szCs w:val="21"/>
          <w:lang w:val="en-US" w:eastAsia="zh-CN"/>
        </w:rPr>
        <w:t>ERP等系统</w:t>
      </w:r>
      <w:r>
        <w:rPr>
          <w:rFonts w:hint="eastAsia" w:ascii="宋体" w:hAnsi="宋体"/>
          <w:kern w:val="0"/>
          <w:szCs w:val="21"/>
        </w:rPr>
        <w:t>之间进行数据交互的管理，主要体现在数据上报、数据审批、数据汇总及图表分析；根据目前业务数据交互的需求，数据主要来源于财务、生产、人事等方面，通过各类填报表格采集数据，经审批后进入数据中心，最终形成高层管理者所需要的查询、统计报表及分析图表。</w:t>
      </w:r>
      <w:r>
        <w:rPr>
          <w:rFonts w:hint="eastAsia" w:ascii="宋体" w:hAnsi="宋体"/>
          <w:kern w:val="0"/>
          <w:szCs w:val="21"/>
        </w:rPr>
        <w:cr/>
      </w:r>
    </w:p>
    <w:p>
      <w:pPr>
        <w:spacing w:line="360" w:lineRule="auto"/>
        <w:ind w:firstLine="236" w:firstLineChars="98"/>
        <w:rPr>
          <w:rFonts w:hint="eastAsia" w:ascii="宋体" w:hAnsi="宋体"/>
          <w:b/>
          <w:kern w:val="0"/>
        </w:rPr>
      </w:pPr>
      <w:r>
        <w:rPr>
          <w:rFonts w:hint="eastAsia" w:ascii="宋体" w:hAnsi="宋体"/>
          <w:b/>
          <w:kern w:val="0"/>
        </w:rPr>
        <w:t>4、系统安全性要求</w:t>
      </w:r>
    </w:p>
    <w:p>
      <w:p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（1）系统应提供多层安全机制</w:t>
      </w:r>
    </w:p>
    <w:p>
      <w:pPr>
        <w:tabs>
          <w:tab w:val="right" w:pos="-2120"/>
        </w:tabs>
        <w:adjustRightInd w:val="0"/>
        <w:snapToGrid w:val="0"/>
        <w:spacing w:line="360" w:lineRule="auto"/>
        <w:ind w:firstLine="720" w:firstLineChars="300"/>
        <w:rPr>
          <w:rFonts w:hint="eastAsia" w:ascii="宋体" w:hAnsi="宋体"/>
          <w:szCs w:val="21"/>
        </w:rPr>
      </w:pPr>
      <w:r>
        <w:rPr>
          <w:rFonts w:hint="eastAsia" w:ascii="宋体" w:hAnsi="宋体"/>
          <w:szCs w:val="21"/>
        </w:rPr>
        <w:t>A、身份认证安全：用户口令等关键信息在传输和存储过程中的加密处理，同时在系统登录中采用验证码的方式防止网上联机攻击。系统支持VPN、USB-Key的安全认证方式；</w:t>
      </w:r>
    </w:p>
    <w:p>
      <w:pPr>
        <w:tabs>
          <w:tab w:val="right" w:pos="-2120"/>
        </w:tabs>
        <w:adjustRightInd w:val="0"/>
        <w:snapToGrid w:val="0"/>
        <w:spacing w:line="360" w:lineRule="auto"/>
        <w:ind w:firstLine="720" w:firstLineChars="300"/>
        <w:rPr>
          <w:rFonts w:hint="eastAsia" w:ascii="宋体" w:hAnsi="宋体"/>
          <w:szCs w:val="21"/>
        </w:rPr>
      </w:pPr>
      <w:r>
        <w:rPr>
          <w:rFonts w:hint="eastAsia" w:ascii="宋体" w:hAnsi="宋体"/>
          <w:szCs w:val="21"/>
        </w:rPr>
        <w:t>B、支持通道传输安全：https方式安全通道访问加密；存储安全加密：数据库动态密码，敏感信息及附件分级加密；外部认证集成：CA认证、外部反向身份认证、LDAP/AD目录服务应用服务器与数据库服务器分开部署机制，保证内外网数据安全；</w:t>
      </w:r>
    </w:p>
    <w:p>
      <w:p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（2）系统应提供灵活的、严格的权限控制</w:t>
      </w:r>
    </w:p>
    <w:p>
      <w:pPr>
        <w:tabs>
          <w:tab w:val="right" w:pos="-2120"/>
        </w:tabs>
        <w:adjustRightInd w:val="0"/>
        <w:snapToGrid w:val="0"/>
        <w:spacing w:line="360" w:lineRule="auto"/>
        <w:ind w:firstLine="600" w:firstLineChars="250"/>
        <w:rPr>
          <w:rFonts w:hint="eastAsia" w:ascii="宋体" w:hAnsi="宋体"/>
          <w:szCs w:val="21"/>
        </w:rPr>
      </w:pPr>
      <w:r>
        <w:rPr>
          <w:rFonts w:hint="eastAsia" w:ascii="宋体" w:hAnsi="宋体"/>
          <w:szCs w:val="21"/>
        </w:rPr>
        <w:t>A、按照用户角色实现对指定人员、角色和活动分配相应的权限，并对审批过程中数据的修改权限控制到字段级。系统管理员与业务管理员分离，而不是一个管理员管理所有信息；</w:t>
      </w:r>
    </w:p>
    <w:p>
      <w:pPr>
        <w:tabs>
          <w:tab w:val="right" w:pos="-2120"/>
        </w:tabs>
        <w:adjustRightInd w:val="0"/>
        <w:snapToGrid w:val="0"/>
        <w:spacing w:line="360" w:lineRule="auto"/>
        <w:ind w:firstLine="600" w:firstLineChars="250"/>
        <w:rPr>
          <w:rFonts w:hint="eastAsia" w:ascii="宋体" w:hAnsi="宋体"/>
          <w:szCs w:val="21"/>
        </w:rPr>
      </w:pPr>
      <w:r>
        <w:rPr>
          <w:rFonts w:hint="eastAsia" w:ascii="宋体" w:hAnsi="宋体"/>
          <w:szCs w:val="21"/>
        </w:rPr>
        <w:t>B、日志审计，系统应提供用户登录、操作日志审计分析功能，为系统优化完善提供访问数据方面支持。同时系统应自动记录错误日志，为排除故障提供依据；</w:t>
      </w:r>
    </w:p>
    <w:p>
      <w:pPr>
        <w:tabs>
          <w:tab w:val="right" w:pos="-2120"/>
        </w:tabs>
        <w:adjustRightInd w:val="0"/>
        <w:snapToGrid w:val="0"/>
        <w:spacing w:line="360" w:lineRule="auto"/>
        <w:ind w:firstLine="600" w:firstLineChars="250"/>
        <w:rPr>
          <w:rFonts w:ascii="宋体" w:hAnsi="宋体"/>
          <w:color w:val="000000"/>
          <w:szCs w:val="21"/>
        </w:rPr>
      </w:pPr>
      <w:r>
        <w:rPr>
          <w:rFonts w:hint="eastAsia" w:ascii="宋体" w:hAnsi="宋体"/>
          <w:szCs w:val="21"/>
        </w:rPr>
        <w:t>C、备份恢复，软件需提供系统快速备份和恢复的解决方案，降低对系统管理员的技术要求。</w:t>
      </w:r>
    </w:p>
    <w:p>
      <w:pPr>
        <w:spacing w:line="360" w:lineRule="auto"/>
        <w:ind w:firstLine="236" w:firstLineChars="98"/>
        <w:rPr>
          <w:rFonts w:hint="eastAsia" w:ascii="宋体" w:hAnsi="宋体"/>
          <w:b/>
          <w:kern w:val="0"/>
        </w:rPr>
      </w:pPr>
      <w:r>
        <w:rPr>
          <w:rFonts w:hint="eastAsia" w:ascii="宋体" w:hAnsi="宋体"/>
          <w:b/>
          <w:kern w:val="0"/>
        </w:rPr>
        <w:t>5、可靠性和开放性</w:t>
      </w:r>
    </w:p>
    <w:p>
      <w:p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应具有高可靠性和良好的开放性。其中，可靠性主要包括以下几个方面：</w:t>
      </w:r>
    </w:p>
    <w:p>
      <w:pPr>
        <w:numPr>
          <w:ilvl w:val="0"/>
          <w:numId w:val="20"/>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软件系统必须保证质量，并在实施前经过完全测试，并应具备质保证明；</w:t>
      </w:r>
    </w:p>
    <w:p>
      <w:pPr>
        <w:numPr>
          <w:ilvl w:val="0"/>
          <w:numId w:val="20"/>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采用可靠性高的数据库操作平台，确保事务处理和数据库的完整性；</w:t>
      </w:r>
    </w:p>
    <w:p>
      <w:pPr>
        <w:numPr>
          <w:ilvl w:val="0"/>
          <w:numId w:val="20"/>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数据库完整性规范的使用贯穿于系统的全部应用模块中；</w:t>
      </w:r>
    </w:p>
    <w:p>
      <w:pPr>
        <w:numPr>
          <w:ilvl w:val="0"/>
          <w:numId w:val="20"/>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系统没有明显和可能导致严重后果的错误；</w:t>
      </w:r>
    </w:p>
    <w:p>
      <w:pPr>
        <w:numPr>
          <w:ilvl w:val="0"/>
          <w:numId w:val="20"/>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服务器端系统应可长期稳定运行，不会因长期使用或负载过高导致数据的逻辑错误；</w:t>
      </w:r>
    </w:p>
    <w:p>
      <w:pPr>
        <w:numPr>
          <w:ilvl w:val="0"/>
          <w:numId w:val="20"/>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客户端系统运行稳定，不会因长时间使用或调用屏幕太多等因素导致故障。</w:t>
      </w:r>
    </w:p>
    <w:p>
      <w:pPr>
        <w:numPr>
          <w:ilvl w:val="0"/>
          <w:numId w:val="0"/>
        </w:numPr>
        <w:spacing w:line="360" w:lineRule="auto"/>
        <w:rPr>
          <w:rFonts w:hint="eastAsia" w:ascii="宋体" w:hAnsi="宋体"/>
          <w:b/>
          <w:kern w:val="0"/>
        </w:rPr>
      </w:pPr>
      <w:bookmarkStart w:id="202" w:name="_Toc226949276"/>
      <w:bookmarkStart w:id="203" w:name="_Toc198037616"/>
      <w:r>
        <w:rPr>
          <w:rFonts w:hint="eastAsia" w:ascii="宋体" w:hAnsi="宋体"/>
          <w:b/>
          <w:kern w:val="0"/>
          <w:lang w:val="en-US" w:eastAsia="zh-CN"/>
        </w:rPr>
        <w:t>6、</w:t>
      </w:r>
      <w:r>
        <w:rPr>
          <w:rFonts w:hint="eastAsia" w:ascii="宋体" w:hAnsi="宋体"/>
          <w:b/>
          <w:kern w:val="0"/>
        </w:rPr>
        <w:t>系统其他要求</w:t>
      </w:r>
      <w:bookmarkEnd w:id="202"/>
      <w:bookmarkEnd w:id="203"/>
    </w:p>
    <w:p>
      <w:pPr>
        <w:numPr>
          <w:ilvl w:val="0"/>
          <w:numId w:val="21"/>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整个系统须有高性能，应满足相应性能指标，同时提供能够反映系统性能的其他量化指标；</w:t>
      </w:r>
    </w:p>
    <w:p>
      <w:pPr>
        <w:numPr>
          <w:ilvl w:val="0"/>
          <w:numId w:val="21"/>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系统能与本公司其他系统如财务、人力资源专业系统实现数据互通；</w:t>
      </w:r>
    </w:p>
    <w:p>
      <w:pPr>
        <w:numPr>
          <w:ilvl w:val="0"/>
          <w:numId w:val="21"/>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系统应运行在美观、整洁和易于理解的图形界面中；</w:t>
      </w:r>
    </w:p>
    <w:p>
      <w:pPr>
        <w:numPr>
          <w:ilvl w:val="0"/>
          <w:numId w:val="21"/>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应用软件应满足操作上的方便性、维护上的简便性和使用上的灵活高效性，统一界面下应具有统一操作方法、录入的各类信息在系统中共享等；</w:t>
      </w:r>
    </w:p>
    <w:p>
      <w:pPr>
        <w:numPr>
          <w:ilvl w:val="0"/>
          <w:numId w:val="21"/>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可以向终端用户提供在使用过程中的在线帮助，在线帮助需要有良好的组织结构、直观易用；</w:t>
      </w:r>
    </w:p>
    <w:p>
      <w:pPr>
        <w:numPr>
          <w:ilvl w:val="0"/>
          <w:numId w:val="21"/>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在本地有一批成功实施客户的案例，能按需求提供和主流ERP产品的集成的技术方案；可实现与主流ERP产品和业务系统的无缝集成，实现组织、人员的互通，实现数据信息的互通和推送对接；</w:t>
      </w:r>
    </w:p>
    <w:p>
      <w:pPr>
        <w:numPr>
          <w:ilvl w:val="0"/>
          <w:numId w:val="21"/>
        </w:numPr>
        <w:tabs>
          <w:tab w:val="right" w:pos="-2120"/>
        </w:tabs>
        <w:adjustRightInd w:val="0"/>
        <w:snapToGrid w:val="0"/>
        <w:spacing w:line="360" w:lineRule="auto"/>
        <w:ind w:firstLine="480"/>
        <w:rPr>
          <w:rFonts w:hint="eastAsia" w:ascii="宋体" w:hAnsi="宋体"/>
          <w:szCs w:val="21"/>
        </w:rPr>
      </w:pPr>
      <w:r>
        <w:rPr>
          <w:rFonts w:hint="eastAsia" w:ascii="宋体" w:hAnsi="宋体"/>
          <w:szCs w:val="21"/>
        </w:rPr>
        <w:t>产品功能设计合理，上手快，客户会操作电脑上网就可以快速学会使用，实施周期较短；专业的培训方法，能够快速教会不同水平和应用层次的电脑用户使用 。</w:t>
      </w:r>
    </w:p>
    <w:p>
      <w:pPr>
        <w:pStyle w:val="3"/>
        <w:spacing w:line="240" w:lineRule="auto"/>
        <w:ind w:firstLine="482"/>
        <w:rPr>
          <w:rFonts w:hint="eastAsia"/>
          <w:b/>
          <w:color w:val="000000"/>
        </w:rPr>
      </w:pPr>
      <w:bookmarkStart w:id="204" w:name="_Toc523214645"/>
      <w:bookmarkStart w:id="205" w:name="_Toc523210782"/>
      <w:r>
        <w:rPr>
          <w:rFonts w:hint="eastAsia"/>
          <w:b/>
          <w:color w:val="000000"/>
        </w:rPr>
        <w:t>五、</w:t>
      </w:r>
      <w:bookmarkEnd w:id="200"/>
      <w:r>
        <w:rPr>
          <w:rFonts w:hint="eastAsia"/>
          <w:b/>
        </w:rPr>
        <w:t>项目管理与实施</w:t>
      </w:r>
      <w:bookmarkEnd w:id="201"/>
      <w:bookmarkEnd w:id="204"/>
      <w:bookmarkEnd w:id="205"/>
    </w:p>
    <w:p>
      <w:pPr>
        <w:ind w:firstLine="480"/>
        <w:rPr>
          <w:rFonts w:hint="eastAsia" w:cs="楷体_GB2312"/>
          <w:kern w:val="0"/>
        </w:rPr>
      </w:pPr>
      <w:r>
        <w:rPr>
          <w:rFonts w:hint="eastAsia" w:hAnsi="宋体" w:cs="楷体_GB2312"/>
          <w:kern w:val="0"/>
        </w:rPr>
        <w:t>投标方应结合自己以往实施的项目管理经验，在投标文件中如实说明自己在项目管理方面的优势和不足。投标方对本项目的项目需求及项目实施管理提出综合方案，应当详细阐述项目过程文档管理，计划与时间控制，沟通管理，人员管理，进度管理，风险管理，质量管理等方法和保证执行措施。</w:t>
      </w:r>
    </w:p>
    <w:p>
      <w:pPr>
        <w:ind w:firstLine="480"/>
        <w:rPr>
          <w:rFonts w:hint="eastAsia" w:hAnsi="宋体" w:cs="楷体_GB2312"/>
          <w:kern w:val="0"/>
        </w:rPr>
      </w:pPr>
      <w:r>
        <w:rPr>
          <w:rFonts w:hint="eastAsia" w:hAnsi="宋体" w:cs="楷体_GB2312"/>
          <w:kern w:val="0"/>
        </w:rPr>
        <w:t>投标方需对中标后项目实施的规划和步骤加以说明。投标方应做出本阶段的详细实施进度计划，明晰表述各阶段项目里程碑，以及对进度完成的保证措施和补救方法。</w:t>
      </w:r>
    </w:p>
    <w:p>
      <w:pPr>
        <w:ind w:firstLine="480"/>
        <w:rPr>
          <w:rFonts w:hint="eastAsia" w:hAnsi="宋体" w:cs="楷体_GB2312"/>
          <w:kern w:val="0"/>
        </w:rPr>
      </w:pPr>
      <w:r>
        <w:rPr>
          <w:rFonts w:hint="eastAsia" w:hAnsi="宋体" w:cs="楷体_GB2312"/>
          <w:kern w:val="0"/>
        </w:rPr>
        <w:t>投标方必须提供项目的需求分析方案，就需求分析的工作方法、时间安排、分析手段、需求质量保证等给出详细的说明。</w:t>
      </w:r>
    </w:p>
    <w:p>
      <w:pPr>
        <w:ind w:firstLine="480"/>
        <w:rPr>
          <w:rFonts w:hint="eastAsia"/>
          <w:color w:val="FF0000"/>
        </w:rPr>
      </w:pPr>
      <w:r>
        <w:rPr>
          <w:rFonts w:hint="eastAsia" w:ascii="宋体" w:hAnsi="宋体" w:cs="楷体_GB2312"/>
          <w:kern w:val="0"/>
        </w:rPr>
        <w:t>投标方应对本项目的风险做出客观的评价，整理分析，并提出有效减少风险的手段和措施，作为项目风险规避方案加以详细论述。同时，投标方还应充分考虑项目风险出现的情况，就风险责任问题给出明确的解释。</w:t>
      </w:r>
    </w:p>
    <w:p>
      <w:pPr>
        <w:pStyle w:val="3"/>
        <w:spacing w:line="240" w:lineRule="auto"/>
        <w:ind w:firstLine="482"/>
        <w:rPr>
          <w:rFonts w:hint="eastAsia"/>
          <w:b/>
        </w:rPr>
      </w:pPr>
      <w:bookmarkStart w:id="206" w:name="_Toc125855781"/>
      <w:bookmarkStart w:id="207" w:name="_Toc523210783"/>
      <w:bookmarkStart w:id="208" w:name="_Toc523214646"/>
      <w:r>
        <w:rPr>
          <w:rFonts w:hint="eastAsia"/>
          <w:b/>
        </w:rPr>
        <w:t>六、项目实施团队</w:t>
      </w:r>
      <w:bookmarkEnd w:id="206"/>
      <w:bookmarkEnd w:id="207"/>
      <w:bookmarkEnd w:id="208"/>
    </w:p>
    <w:p>
      <w:pPr>
        <w:ind w:firstLine="480"/>
        <w:rPr>
          <w:rFonts w:hint="eastAsia" w:cs="楷体_GB2312"/>
          <w:kern w:val="0"/>
        </w:rPr>
      </w:pPr>
      <w:r>
        <w:rPr>
          <w:rFonts w:hint="eastAsia" w:hAnsi="宋体" w:cs="楷体_GB2312"/>
          <w:kern w:val="0"/>
        </w:rPr>
        <w:t>投标方应在投标文件中就双方项目组组成以及项目组成员职责进行说明，并对邀标方项目组成员应当具备的相关素质提出要求。投标方应保证项目组成员的稳定性，核心人员在项目期间不可调离，非核心人员的调离必须征得太极实业的同意。投标方应说明相应的保证措施。另外需附有投标本项目的项目团队成员（包括项目经理、核心技术人员、非核心技术人员等）的简历、经验说明、资历证明及其主持或参与的系统实施的成功范例。</w:t>
      </w:r>
    </w:p>
    <w:p>
      <w:pPr>
        <w:ind w:firstLine="480"/>
        <w:rPr>
          <w:rFonts w:hint="eastAsia"/>
        </w:rPr>
      </w:pPr>
      <w:r>
        <w:rPr>
          <w:rFonts w:hint="eastAsia"/>
        </w:rPr>
        <w:t>投标方项目组应保证以下条件：</w:t>
      </w:r>
    </w:p>
    <w:p>
      <w:pPr>
        <w:numPr>
          <w:ilvl w:val="0"/>
          <w:numId w:val="22"/>
        </w:numPr>
        <w:ind w:firstLine="480"/>
        <w:rPr>
          <w:rFonts w:hint="eastAsia"/>
        </w:rPr>
      </w:pPr>
      <w:r>
        <w:rPr>
          <w:rFonts w:hint="eastAsia"/>
        </w:rPr>
        <w:t>稳定的实施队伍；</w:t>
      </w:r>
    </w:p>
    <w:p>
      <w:pPr>
        <w:numPr>
          <w:ilvl w:val="0"/>
          <w:numId w:val="22"/>
        </w:numPr>
        <w:ind w:firstLine="480"/>
        <w:rPr>
          <w:rFonts w:hint="eastAsia"/>
        </w:rPr>
      </w:pPr>
      <w:r>
        <w:rPr>
          <w:rFonts w:hint="eastAsia"/>
        </w:rPr>
        <w:t>多次实践经验的项目管理队伍；</w:t>
      </w:r>
    </w:p>
    <w:p>
      <w:pPr>
        <w:numPr>
          <w:ilvl w:val="0"/>
          <w:numId w:val="22"/>
        </w:numPr>
        <w:ind w:firstLine="480"/>
        <w:rPr>
          <w:rFonts w:hint="eastAsia"/>
        </w:rPr>
      </w:pPr>
      <w:r>
        <w:rPr>
          <w:rFonts w:hint="eastAsia"/>
        </w:rPr>
        <w:t>具有多年办公协同系统实施经验的业务队伍；</w:t>
      </w:r>
    </w:p>
    <w:p>
      <w:pPr>
        <w:numPr>
          <w:ilvl w:val="0"/>
          <w:numId w:val="22"/>
        </w:numPr>
        <w:ind w:firstLine="480"/>
        <w:rPr>
          <w:rFonts w:hint="eastAsia"/>
        </w:rPr>
      </w:pPr>
      <w:r>
        <w:rPr>
          <w:rFonts w:hint="eastAsia"/>
        </w:rPr>
        <w:t>与客户之间的良好合作关系。</w:t>
      </w:r>
    </w:p>
    <w:p>
      <w:pPr>
        <w:pStyle w:val="3"/>
        <w:spacing w:line="240" w:lineRule="auto"/>
        <w:ind w:firstLine="482"/>
        <w:rPr>
          <w:rFonts w:hint="eastAsia"/>
          <w:b/>
        </w:rPr>
      </w:pPr>
      <w:bookmarkStart w:id="209" w:name="_Toc100746722"/>
      <w:bookmarkStart w:id="210" w:name="_Toc125855782"/>
      <w:bookmarkStart w:id="211" w:name="_Toc523210784"/>
      <w:bookmarkStart w:id="212" w:name="_Toc523214647"/>
      <w:r>
        <w:rPr>
          <w:rFonts w:hint="eastAsia"/>
          <w:b/>
        </w:rPr>
        <w:t>七、项目实施时间</w:t>
      </w:r>
      <w:bookmarkEnd w:id="209"/>
      <w:bookmarkEnd w:id="210"/>
      <w:bookmarkEnd w:id="211"/>
      <w:bookmarkEnd w:id="212"/>
    </w:p>
    <w:p>
      <w:pPr>
        <w:ind w:firstLine="480"/>
        <w:rPr>
          <w:rFonts w:hint="eastAsia"/>
        </w:rPr>
      </w:pPr>
      <w:r>
        <w:rPr>
          <w:rFonts w:hint="eastAsia"/>
          <w:kern w:val="0"/>
        </w:rPr>
        <w:t>投标方需在投标文件中对中标后项目实施的规划和步骤加以说明。投标方应做出本阶段的详细进度计划，</w:t>
      </w:r>
      <w:r>
        <w:rPr>
          <w:rFonts w:hint="eastAsia"/>
        </w:rPr>
        <w:t>估算本项目所需的人力、时间。</w:t>
      </w:r>
      <w:r>
        <w:rPr>
          <w:rFonts w:hint="eastAsia"/>
          <w:kern w:val="0"/>
        </w:rPr>
        <w:t>明晰表述各阶段项目里程碑，以及对进度完成的保证措施和补救方法。</w:t>
      </w:r>
    </w:p>
    <w:p>
      <w:pPr>
        <w:pStyle w:val="3"/>
        <w:spacing w:line="240" w:lineRule="auto"/>
        <w:ind w:firstLine="482"/>
        <w:rPr>
          <w:rFonts w:hint="eastAsia"/>
          <w:b/>
        </w:rPr>
      </w:pPr>
      <w:bookmarkStart w:id="213" w:name="_Toc100746723"/>
      <w:bookmarkStart w:id="214" w:name="_Toc523214648"/>
      <w:bookmarkStart w:id="215" w:name="_Toc125855783"/>
      <w:bookmarkStart w:id="216" w:name="_Toc523210785"/>
      <w:r>
        <w:rPr>
          <w:rFonts w:hint="eastAsia"/>
          <w:b/>
        </w:rPr>
        <w:t>八、技术转移</w:t>
      </w:r>
      <w:bookmarkEnd w:id="213"/>
      <w:bookmarkEnd w:id="214"/>
      <w:bookmarkEnd w:id="215"/>
      <w:bookmarkEnd w:id="216"/>
    </w:p>
    <w:p>
      <w:pPr>
        <w:ind w:firstLine="480"/>
        <w:rPr>
          <w:rFonts w:hint="eastAsia"/>
        </w:rPr>
      </w:pPr>
      <w:bookmarkStart w:id="217" w:name="_Toc237970862"/>
      <w:r>
        <w:rPr>
          <w:rFonts w:hint="eastAsia"/>
        </w:rPr>
        <w:t>为使系统能高效、可靠运行，投标方应保证在系统实施及后续服务阶段向</w:t>
      </w:r>
      <w:r>
        <w:rPr>
          <w:rFonts w:hint="eastAsia" w:ascii="宋体" w:hAnsi="宋体"/>
          <w:kern w:val="0"/>
          <w:szCs w:val="21"/>
        </w:rPr>
        <w:t>无锡市太极实业股份有限公司</w:t>
      </w:r>
      <w:r>
        <w:rPr>
          <w:rFonts w:hint="eastAsia"/>
        </w:rPr>
        <w:t>进行技术转移。技术转移必须包含相关实施文档，产品手册、数据库结构、数据字典、开发文档说明（包括总体设计、详细设计、配置说明、测试说明等）。</w:t>
      </w:r>
      <w:bookmarkEnd w:id="217"/>
    </w:p>
    <w:p>
      <w:pPr>
        <w:numPr>
          <w:ilvl w:val="0"/>
          <w:numId w:val="23"/>
        </w:numPr>
        <w:ind w:firstLine="480"/>
        <w:rPr>
          <w:rFonts w:hint="eastAsia"/>
        </w:rPr>
      </w:pPr>
      <w:r>
        <w:rPr>
          <w:rFonts w:hint="eastAsia"/>
        </w:rPr>
        <w:t>合同正式签署后，投标人除提供所需系统的可执行版本外，还需提供包括客户化程序在内的全部配置文件，并在每次版本更新或客户化后适时更新并提供给</w:t>
      </w:r>
      <w:r>
        <w:rPr>
          <w:rFonts w:hint="eastAsia"/>
          <w:lang w:eastAsia="zh-CN"/>
        </w:rPr>
        <w:t>江苏太极实业新材料</w:t>
      </w:r>
      <w:r>
        <w:rPr>
          <w:rFonts w:hint="eastAsia" w:ascii="宋体" w:hAnsi="宋体"/>
          <w:kern w:val="0"/>
          <w:szCs w:val="21"/>
        </w:rPr>
        <w:t>有限公司</w:t>
      </w:r>
      <w:r>
        <w:rPr>
          <w:rFonts w:hint="eastAsia"/>
        </w:rPr>
        <w:t>。</w:t>
      </w:r>
    </w:p>
    <w:p>
      <w:pPr>
        <w:numPr>
          <w:ilvl w:val="0"/>
          <w:numId w:val="23"/>
        </w:numPr>
        <w:ind w:firstLine="480"/>
        <w:rPr>
          <w:rFonts w:hint="eastAsia"/>
        </w:rPr>
      </w:pPr>
      <w:r>
        <w:rPr>
          <w:rFonts w:hint="eastAsia"/>
        </w:rPr>
        <w:t>部署到测试环境和生产环境的客户化程序的可执行版本必须根据代码生成，以保持代码的一致性。</w:t>
      </w:r>
    </w:p>
    <w:p>
      <w:pPr>
        <w:numPr>
          <w:ilvl w:val="0"/>
          <w:numId w:val="23"/>
        </w:numPr>
        <w:ind w:firstLine="480"/>
        <w:rPr>
          <w:rFonts w:hint="eastAsia"/>
        </w:rPr>
      </w:pPr>
      <w:r>
        <w:rPr>
          <w:rFonts w:hint="eastAsia"/>
        </w:rPr>
        <w:t>投标人需要提供业务数据模型说明及数据库结构表，便于进行系统维护。</w:t>
      </w:r>
    </w:p>
    <w:p>
      <w:pPr>
        <w:numPr>
          <w:ilvl w:val="0"/>
          <w:numId w:val="23"/>
        </w:numPr>
        <w:ind w:firstLine="480"/>
        <w:rPr>
          <w:rFonts w:hint="eastAsia"/>
        </w:rPr>
      </w:pPr>
      <w:r>
        <w:rPr>
          <w:rFonts w:hint="eastAsia"/>
        </w:rPr>
        <w:t>投标人提供的各种文档应与其提供的系统功能相一致，技术文档应该全面、详细、准确。</w:t>
      </w:r>
    </w:p>
    <w:p>
      <w:pPr>
        <w:numPr>
          <w:ilvl w:val="0"/>
          <w:numId w:val="23"/>
        </w:numPr>
        <w:ind w:firstLine="480"/>
        <w:rPr>
          <w:rFonts w:hint="eastAsia"/>
        </w:rPr>
      </w:pPr>
      <w:r>
        <w:rPr>
          <w:rFonts w:hint="eastAsia"/>
        </w:rPr>
        <w:t>投标人提供的文档应能够满足对投标人所提供系统的安装、使用、维护的需要，投标人提供的技术文档至少包括：</w:t>
      </w:r>
    </w:p>
    <w:p>
      <w:pPr>
        <w:numPr>
          <w:ilvl w:val="1"/>
          <w:numId w:val="23"/>
        </w:numPr>
        <w:ind w:firstLine="480"/>
        <w:rPr>
          <w:rFonts w:hint="eastAsia"/>
        </w:rPr>
      </w:pPr>
      <w:r>
        <w:rPr>
          <w:rFonts w:hint="eastAsia"/>
        </w:rPr>
        <w:t>技术手册；</w:t>
      </w:r>
    </w:p>
    <w:p>
      <w:pPr>
        <w:numPr>
          <w:ilvl w:val="1"/>
          <w:numId w:val="23"/>
        </w:numPr>
        <w:ind w:firstLine="480"/>
        <w:rPr>
          <w:rFonts w:hint="eastAsia"/>
        </w:rPr>
      </w:pPr>
      <w:r>
        <w:rPr>
          <w:rFonts w:hint="eastAsia"/>
        </w:rPr>
        <w:t>用户操作手册；</w:t>
      </w:r>
    </w:p>
    <w:p>
      <w:pPr>
        <w:numPr>
          <w:ilvl w:val="1"/>
          <w:numId w:val="23"/>
        </w:numPr>
        <w:ind w:firstLine="480"/>
        <w:rPr>
          <w:rFonts w:hint="eastAsia"/>
        </w:rPr>
      </w:pPr>
      <w:r>
        <w:rPr>
          <w:rFonts w:hint="eastAsia"/>
        </w:rPr>
        <w:t>系统配置及发布手册；</w:t>
      </w:r>
    </w:p>
    <w:p>
      <w:pPr>
        <w:numPr>
          <w:ilvl w:val="1"/>
          <w:numId w:val="23"/>
        </w:numPr>
        <w:ind w:firstLine="480"/>
        <w:rPr>
          <w:rFonts w:hint="eastAsia"/>
        </w:rPr>
      </w:pPr>
      <w:r>
        <w:rPr>
          <w:rFonts w:hint="eastAsia"/>
        </w:rPr>
        <w:t>培训手册。</w:t>
      </w:r>
    </w:p>
    <w:p>
      <w:pPr>
        <w:numPr>
          <w:ilvl w:val="0"/>
          <w:numId w:val="23"/>
        </w:numPr>
        <w:ind w:firstLine="480"/>
        <w:rPr>
          <w:rFonts w:hint="eastAsia"/>
        </w:rPr>
      </w:pPr>
      <w:r>
        <w:rPr>
          <w:rFonts w:hint="eastAsia"/>
        </w:rPr>
        <w:t>投标人在任何时候提供系统升级和客户化功能增加时，都应提供相应的技术文档。</w:t>
      </w:r>
    </w:p>
    <w:p>
      <w:pPr>
        <w:numPr>
          <w:ilvl w:val="0"/>
          <w:numId w:val="23"/>
        </w:numPr>
        <w:ind w:firstLine="480"/>
        <w:rPr>
          <w:rFonts w:hint="eastAsia"/>
        </w:rPr>
      </w:pPr>
      <w:r>
        <w:rPr>
          <w:rFonts w:hint="eastAsia"/>
        </w:rPr>
        <w:t>投标人提供的所有技术资料应使用中文。</w:t>
      </w:r>
    </w:p>
    <w:p>
      <w:pPr>
        <w:numPr>
          <w:ilvl w:val="0"/>
          <w:numId w:val="23"/>
        </w:numPr>
        <w:ind w:firstLine="480"/>
        <w:rPr>
          <w:rFonts w:hint="eastAsia"/>
        </w:rPr>
      </w:pPr>
      <w:r>
        <w:rPr>
          <w:rFonts w:hint="eastAsia"/>
        </w:rPr>
        <w:t>投标人提供的文档和资料均应以磁介质（或光盘）和纸张为载体，文件格式为Word文档或其他可视化文件。</w:t>
      </w:r>
    </w:p>
    <w:p>
      <w:pPr>
        <w:numPr>
          <w:ilvl w:val="0"/>
          <w:numId w:val="23"/>
        </w:numPr>
        <w:ind w:firstLine="480"/>
        <w:rPr>
          <w:rFonts w:hint="eastAsia"/>
        </w:rPr>
      </w:pPr>
      <w:r>
        <w:rPr>
          <w:rFonts w:hint="eastAsia"/>
        </w:rPr>
        <w:t>投标人提供系统版本及文档的同时，应推荐相应的版本管理工具</w:t>
      </w:r>
    </w:p>
    <w:p>
      <w:pPr>
        <w:numPr>
          <w:ilvl w:val="0"/>
          <w:numId w:val="23"/>
        </w:numPr>
        <w:ind w:firstLine="480"/>
        <w:rPr>
          <w:rFonts w:hint="eastAsia"/>
        </w:rPr>
      </w:pPr>
      <w:r>
        <w:rPr>
          <w:rFonts w:hint="eastAsia"/>
        </w:rPr>
        <w:t>投标人应就技术转移中涉及知识产权的内容给予说明，并提出相应的方案。</w:t>
      </w:r>
    </w:p>
    <w:p>
      <w:pPr>
        <w:ind w:firstLine="480"/>
        <w:rPr>
          <w:rFonts w:hint="eastAsia"/>
        </w:rPr>
      </w:pPr>
    </w:p>
    <w:p>
      <w:pPr>
        <w:pStyle w:val="3"/>
        <w:spacing w:line="240" w:lineRule="auto"/>
        <w:ind w:firstLine="482"/>
        <w:rPr>
          <w:rFonts w:hint="eastAsia"/>
          <w:b/>
        </w:rPr>
      </w:pPr>
      <w:bookmarkStart w:id="218" w:name="_Toc523210786"/>
      <w:bookmarkStart w:id="219" w:name="_Toc523214649"/>
      <w:bookmarkStart w:id="220" w:name="_Toc100746724"/>
      <w:bookmarkStart w:id="221" w:name="_Toc125855784"/>
      <w:r>
        <w:rPr>
          <w:rFonts w:hint="eastAsia"/>
          <w:b/>
        </w:rPr>
        <w:t>九、技术服务</w:t>
      </w:r>
      <w:bookmarkEnd w:id="218"/>
      <w:bookmarkEnd w:id="219"/>
      <w:bookmarkEnd w:id="220"/>
      <w:bookmarkEnd w:id="221"/>
    </w:p>
    <w:p>
      <w:pPr>
        <w:ind w:firstLine="480"/>
        <w:rPr>
          <w:rFonts w:hint="eastAsia"/>
        </w:rPr>
      </w:pPr>
      <w:r>
        <w:rPr>
          <w:rFonts w:hint="eastAsia"/>
        </w:rPr>
        <w:t>投标人需在投标文件中对后期服务方式，服务内容，服务范围，服务响应时效，服务费用等内容明确列示。</w:t>
      </w:r>
    </w:p>
    <w:p>
      <w:pPr>
        <w:numPr>
          <w:ilvl w:val="0"/>
          <w:numId w:val="24"/>
        </w:numPr>
        <w:ind w:firstLine="480"/>
        <w:rPr>
          <w:rFonts w:hint="eastAsia"/>
        </w:rPr>
      </w:pPr>
      <w:r>
        <w:rPr>
          <w:rFonts w:hint="eastAsia"/>
        </w:rPr>
        <w:t>投标人所承诺的所有服务必须由原厂商提供。投标人同时应提供《系统维护服务书》作为合同附件。</w:t>
      </w:r>
    </w:p>
    <w:p>
      <w:pPr>
        <w:numPr>
          <w:ilvl w:val="0"/>
          <w:numId w:val="24"/>
        </w:numPr>
        <w:ind w:firstLine="480"/>
        <w:rPr>
          <w:rFonts w:hint="eastAsia"/>
        </w:rPr>
      </w:pPr>
      <w:r>
        <w:rPr>
          <w:rFonts w:hint="eastAsia"/>
        </w:rPr>
        <w:t>投标人负责所提供系统的现场安装、调试和开通，并需提供后期与其他软件接口配合服务。</w:t>
      </w:r>
    </w:p>
    <w:p>
      <w:pPr>
        <w:numPr>
          <w:ilvl w:val="0"/>
          <w:numId w:val="24"/>
        </w:numPr>
        <w:ind w:firstLine="480"/>
        <w:rPr>
          <w:rFonts w:hint="eastAsia"/>
        </w:rPr>
      </w:pPr>
      <w:r>
        <w:rPr>
          <w:rFonts w:hint="eastAsia"/>
        </w:rPr>
        <w:t>投标人应就技术服务的服务时间及不同时间段给予详细的说明。</w:t>
      </w:r>
    </w:p>
    <w:p>
      <w:pPr>
        <w:ind w:firstLine="480"/>
        <w:rPr>
          <w:rFonts w:hint="eastAsia"/>
        </w:rPr>
      </w:pPr>
    </w:p>
    <w:p>
      <w:pPr>
        <w:pStyle w:val="3"/>
        <w:spacing w:line="240" w:lineRule="auto"/>
        <w:ind w:firstLine="482"/>
        <w:rPr>
          <w:rFonts w:hint="eastAsia"/>
          <w:b/>
        </w:rPr>
      </w:pPr>
      <w:bookmarkStart w:id="222" w:name="_Toc523210787"/>
      <w:bookmarkStart w:id="223" w:name="_Toc523214650"/>
      <w:bookmarkStart w:id="224" w:name="_Toc100746725"/>
      <w:bookmarkStart w:id="225" w:name="_Toc125855785"/>
      <w:r>
        <w:rPr>
          <w:rFonts w:hint="eastAsia"/>
          <w:b/>
        </w:rPr>
        <w:t>十、人员培训</w:t>
      </w:r>
      <w:bookmarkEnd w:id="222"/>
      <w:bookmarkEnd w:id="223"/>
      <w:bookmarkEnd w:id="224"/>
      <w:bookmarkEnd w:id="225"/>
      <w:r>
        <w:rPr>
          <w:rFonts w:hint="eastAsia"/>
          <w:b/>
        </w:rPr>
        <w:t xml:space="preserve"> </w:t>
      </w:r>
    </w:p>
    <w:p>
      <w:pPr>
        <w:numPr>
          <w:ilvl w:val="0"/>
          <w:numId w:val="25"/>
        </w:numPr>
        <w:ind w:firstLine="480"/>
        <w:rPr>
          <w:rFonts w:hint="eastAsia"/>
        </w:rPr>
      </w:pPr>
      <w:r>
        <w:rPr>
          <w:rFonts w:hint="eastAsia"/>
        </w:rPr>
        <w:t>投标人应对本项目涉及到的人员进行全面的使用培训和维护人员的技术培训，维护人员可达到对系统能独立进行管理、维护测试和故障处理等能力，以便投标人所提供的系统能够正常、安全、稳定地运行。同时，投标人还应就系统升级、二次开发以及与其他系统的集成问题提出相应的合作与培训方案。</w:t>
      </w:r>
    </w:p>
    <w:p>
      <w:pPr>
        <w:numPr>
          <w:ilvl w:val="0"/>
          <w:numId w:val="25"/>
        </w:numPr>
        <w:ind w:firstLine="480"/>
        <w:rPr>
          <w:rFonts w:hint="eastAsia"/>
        </w:rPr>
      </w:pPr>
      <w:r>
        <w:rPr>
          <w:rFonts w:hint="eastAsia"/>
        </w:rPr>
        <w:t>培训技术内容应包括：投标人所提供系统的架构、系统的逻辑、系统的设计说明、系统的操作功能、系统的可靠性管理、系统的安全管理、系统的集成接口等内容。</w:t>
      </w:r>
    </w:p>
    <w:p>
      <w:pPr>
        <w:numPr>
          <w:ilvl w:val="0"/>
          <w:numId w:val="25"/>
        </w:numPr>
        <w:ind w:firstLine="480"/>
        <w:rPr>
          <w:rFonts w:hint="eastAsia"/>
        </w:rPr>
      </w:pPr>
      <w:r>
        <w:rPr>
          <w:rFonts w:hint="eastAsia"/>
        </w:rPr>
        <w:t>培训使用人员：投标人负责提供培训教师、教材和实际的操作环境，辅导学员上机实习，保证培训的质量和效果。</w:t>
      </w:r>
    </w:p>
    <w:p>
      <w:pPr>
        <w:numPr>
          <w:ilvl w:val="0"/>
          <w:numId w:val="25"/>
        </w:numPr>
        <w:ind w:firstLine="480"/>
        <w:rPr>
          <w:rFonts w:hint="eastAsia"/>
        </w:rPr>
      </w:pPr>
      <w:r>
        <w:rPr>
          <w:rFonts w:hint="eastAsia"/>
        </w:rPr>
        <w:t>投标人在应答书中应提出详细的培训内容和培训计划。</w:t>
      </w:r>
    </w:p>
    <w:p>
      <w:pPr>
        <w:numPr>
          <w:ilvl w:val="0"/>
          <w:numId w:val="25"/>
        </w:numPr>
        <w:ind w:firstLine="480"/>
        <w:rPr>
          <w:rFonts w:hint="eastAsia"/>
        </w:rPr>
      </w:pPr>
      <w:r>
        <w:rPr>
          <w:rFonts w:hint="eastAsia"/>
        </w:rPr>
        <w:t>系统开通运行后，投标人可结合本项目与投标人的系统情况，定期进行技术交流。</w:t>
      </w:r>
    </w:p>
    <w:p>
      <w:pPr>
        <w:numPr>
          <w:ilvl w:val="0"/>
          <w:numId w:val="25"/>
        </w:numPr>
        <w:ind w:firstLine="480"/>
        <w:rPr>
          <w:rFonts w:hint="eastAsia"/>
        </w:rPr>
      </w:pPr>
      <w:r>
        <w:rPr>
          <w:rFonts w:hint="eastAsia"/>
        </w:rPr>
        <w:t>及时提供新版本或新产品的技术培训。</w:t>
      </w:r>
    </w:p>
    <w:p>
      <w:pPr>
        <w:pStyle w:val="3"/>
        <w:spacing w:line="240" w:lineRule="auto"/>
        <w:ind w:firstLine="482"/>
        <w:rPr>
          <w:rFonts w:hint="eastAsia"/>
          <w:b/>
        </w:rPr>
      </w:pPr>
      <w:bookmarkStart w:id="226" w:name="_Toc523210788"/>
      <w:bookmarkStart w:id="227" w:name="_Toc125855786"/>
      <w:bookmarkStart w:id="228" w:name="_Toc523214651"/>
      <w:bookmarkStart w:id="229" w:name="_Toc100746726"/>
      <w:r>
        <w:rPr>
          <w:rFonts w:hint="eastAsia"/>
          <w:b/>
        </w:rPr>
        <w:t>十、验收方案</w:t>
      </w:r>
      <w:bookmarkEnd w:id="226"/>
      <w:bookmarkEnd w:id="227"/>
      <w:bookmarkEnd w:id="228"/>
      <w:bookmarkEnd w:id="229"/>
    </w:p>
    <w:p>
      <w:pPr>
        <w:ind w:firstLine="480"/>
        <w:rPr>
          <w:rFonts w:hint="eastAsia"/>
        </w:rPr>
      </w:pPr>
      <w:r>
        <w:rPr>
          <w:rFonts w:hint="eastAsia"/>
        </w:rPr>
        <w:t>为保证项目如期实施完成</w:t>
      </w:r>
      <w:r>
        <w:rPr>
          <w:rFonts w:hint="eastAsia"/>
          <w:color w:val="000000"/>
        </w:rPr>
        <w:t>，系统应满足公司各部门办公的业务要求，达到公司办公协同系统项目基本需求和建设目标。</w:t>
      </w:r>
      <w:r>
        <w:rPr>
          <w:rFonts w:hint="eastAsia"/>
        </w:rPr>
        <w:t>投标人应就系统验收方案给出建议，包含</w:t>
      </w:r>
      <w:r>
        <w:rPr>
          <w:rFonts w:ascii="ˎ̥" w:hAnsi="ˎ̥"/>
          <w:color w:val="000000"/>
        </w:rPr>
        <w:t>验收人员、验收时间、验收内容和验收流程</w:t>
      </w:r>
      <w:r>
        <w:rPr>
          <w:rFonts w:hint="eastAsia" w:ascii="ˎ̥" w:hAnsi="ˎ̥"/>
          <w:color w:val="000000"/>
        </w:rPr>
        <w:t>等内容。</w:t>
      </w:r>
    </w:p>
    <w:p>
      <w:pPr>
        <w:pStyle w:val="3"/>
        <w:spacing w:line="240" w:lineRule="auto"/>
        <w:ind w:firstLine="482"/>
        <w:rPr>
          <w:rFonts w:hint="eastAsia"/>
          <w:b/>
        </w:rPr>
      </w:pPr>
      <w:bookmarkStart w:id="230" w:name="_Toc523210789"/>
      <w:bookmarkStart w:id="231" w:name="_Toc523214652"/>
      <w:bookmarkStart w:id="232" w:name="_Toc100746727"/>
      <w:bookmarkStart w:id="233" w:name="_Toc125855787"/>
      <w:r>
        <w:rPr>
          <w:rFonts w:hint="eastAsia"/>
          <w:b/>
        </w:rPr>
        <w:t>十一、项目实施成本</w:t>
      </w:r>
      <w:bookmarkEnd w:id="230"/>
      <w:bookmarkEnd w:id="231"/>
      <w:bookmarkEnd w:id="232"/>
      <w:bookmarkEnd w:id="233"/>
    </w:p>
    <w:p>
      <w:pPr>
        <w:ind w:firstLine="480"/>
        <w:rPr>
          <w:rFonts w:hint="eastAsia"/>
        </w:rPr>
      </w:pPr>
      <w:r>
        <w:rPr>
          <w:rFonts w:hint="eastAsia"/>
        </w:rPr>
        <w:t>投标方应在投标文件中就项目系统实施的成本给出详尽说明。</w:t>
      </w:r>
    </w:p>
    <w:p>
      <w:pPr>
        <w:ind w:firstLine="480"/>
        <w:rPr>
          <w:rFonts w:hint="eastAsia"/>
        </w:rPr>
      </w:pPr>
    </w:p>
    <w:p>
      <w:pPr>
        <w:pStyle w:val="3"/>
        <w:spacing w:line="240" w:lineRule="auto"/>
        <w:ind w:firstLine="482"/>
        <w:rPr>
          <w:rFonts w:hint="eastAsia"/>
          <w:b/>
        </w:rPr>
      </w:pPr>
      <w:bookmarkStart w:id="234" w:name="_Toc523210790"/>
      <w:bookmarkStart w:id="235" w:name="_Toc523214653"/>
      <w:bookmarkStart w:id="236" w:name="_Toc100746728"/>
      <w:bookmarkStart w:id="237" w:name="_Toc125855788"/>
      <w:r>
        <w:rPr>
          <w:rFonts w:hint="eastAsia"/>
          <w:b/>
        </w:rPr>
        <w:t>十二．项目建议</w:t>
      </w:r>
      <w:bookmarkEnd w:id="234"/>
      <w:bookmarkEnd w:id="235"/>
      <w:bookmarkEnd w:id="236"/>
      <w:bookmarkEnd w:id="237"/>
    </w:p>
    <w:p>
      <w:pPr>
        <w:ind w:firstLine="480"/>
        <w:rPr>
          <w:rFonts w:hint="eastAsia"/>
        </w:rPr>
      </w:pPr>
      <w:r>
        <w:rPr>
          <w:rFonts w:hint="eastAsia"/>
        </w:rPr>
        <w:t>投标方可以就邀标书中的项目系统需求、项目实施方法等给出其它建议。</w:t>
      </w:r>
    </w:p>
    <w:p>
      <w:pPr>
        <w:pStyle w:val="3"/>
        <w:spacing w:line="240" w:lineRule="auto"/>
        <w:ind w:firstLine="482"/>
        <w:rPr>
          <w:rFonts w:hint="eastAsia"/>
          <w:b/>
        </w:rPr>
      </w:pPr>
      <w:bookmarkStart w:id="238" w:name="_Toc523210791"/>
      <w:bookmarkStart w:id="239" w:name="_Toc523214654"/>
      <w:bookmarkStart w:id="240" w:name="_Toc100746729"/>
      <w:bookmarkStart w:id="241" w:name="_Toc125855789"/>
      <w:r>
        <w:rPr>
          <w:rFonts w:hint="eastAsia"/>
          <w:b/>
        </w:rPr>
        <w:t>十三．其他</w:t>
      </w:r>
      <w:bookmarkEnd w:id="238"/>
      <w:bookmarkEnd w:id="239"/>
      <w:bookmarkEnd w:id="240"/>
      <w:bookmarkEnd w:id="241"/>
    </w:p>
    <w:p>
      <w:pPr>
        <w:numPr>
          <w:ilvl w:val="0"/>
          <w:numId w:val="26"/>
        </w:numPr>
        <w:ind w:firstLine="480"/>
        <w:rPr>
          <w:rFonts w:hint="eastAsia"/>
        </w:rPr>
      </w:pPr>
      <w:r>
        <w:rPr>
          <w:rFonts w:hint="eastAsia"/>
        </w:rPr>
        <w:t>投标人应确保其技术建议以及所提供的系统的完整性和可用性，保证系统能够投入正常运行。若出现由于投标人提供的系统不满足要求或其所提供的技术支持和服务不全面而导致系统功能无法实现或不能完全实现，由投标人负全部责任并赔偿邀标人由此造成的全部损失。</w:t>
      </w:r>
    </w:p>
    <w:p>
      <w:pPr>
        <w:numPr>
          <w:ilvl w:val="0"/>
          <w:numId w:val="26"/>
        </w:numPr>
        <w:ind w:firstLine="480"/>
        <w:rPr>
          <w:rFonts w:hint="eastAsia"/>
        </w:rPr>
      </w:pPr>
      <w:r>
        <w:rPr>
          <w:rFonts w:hint="eastAsia"/>
        </w:rPr>
        <w:t>由投标人原因造成的工期延误，投标人应赔偿邀标人的损失。</w:t>
      </w:r>
    </w:p>
    <w:p>
      <w:pPr>
        <w:ind w:firstLine="480"/>
        <w:rPr>
          <w:rFonts w:hint="eastAsia"/>
        </w:rPr>
      </w:pPr>
    </w:p>
    <w:p>
      <w:pPr>
        <w:pStyle w:val="5"/>
        <w:tabs>
          <w:tab w:val="left" w:pos="630"/>
        </w:tabs>
        <w:spacing w:line="360" w:lineRule="auto"/>
        <w:ind w:left="718" w:leftChars="299" w:firstLine="480"/>
      </w:pPr>
    </w:p>
    <w:p>
      <w:pPr>
        <w:spacing w:line="360" w:lineRule="auto"/>
        <w:ind w:firstLine="480"/>
      </w:pPr>
      <w:bookmarkStart w:id="242" w:name="_Toc416959925"/>
      <w:bookmarkStart w:id="243" w:name="_Toc426546393"/>
      <w:bookmarkStart w:id="244" w:name="_Toc415975478"/>
      <w:bookmarkStart w:id="245" w:name="_Toc415651616"/>
      <w:bookmarkStart w:id="246" w:name="_Toc388384105"/>
      <w:bookmarkStart w:id="247" w:name="_Toc35839520"/>
      <w:bookmarkStart w:id="248" w:name="_Toc494103547"/>
    </w:p>
    <w:bookmarkEnd w:id="242"/>
    <w:bookmarkEnd w:id="243"/>
    <w:bookmarkEnd w:id="244"/>
    <w:bookmarkEnd w:id="245"/>
    <w:bookmarkEnd w:id="246"/>
    <w:bookmarkEnd w:id="247"/>
    <w:bookmarkEnd w:id="248"/>
    <w:p>
      <w:pPr>
        <w:pStyle w:val="2"/>
        <w:tabs>
          <w:tab w:val="left" w:pos="425"/>
        </w:tabs>
        <w:spacing w:line="360" w:lineRule="auto"/>
        <w:ind w:firstLine="723"/>
        <w:jc w:val="center"/>
        <w:rPr>
          <w:color w:val="000000"/>
          <w:sz w:val="36"/>
          <w:szCs w:val="36"/>
        </w:rPr>
      </w:pPr>
      <w:bookmarkStart w:id="249" w:name="_Toc523214655"/>
      <w:bookmarkStart w:id="250" w:name="_Toc523210792"/>
      <w:bookmarkStart w:id="251" w:name="_Toc125855790"/>
      <w:bookmarkStart w:id="252" w:name="_Toc125217149"/>
      <w:r>
        <w:rPr>
          <w:rFonts w:hint="eastAsia"/>
          <w:color w:val="000000"/>
          <w:sz w:val="36"/>
          <w:szCs w:val="36"/>
        </w:rPr>
        <w:t xml:space="preserve">第三部分 </w:t>
      </w:r>
      <w:r>
        <w:rPr>
          <w:color w:val="000000"/>
          <w:sz w:val="36"/>
          <w:szCs w:val="36"/>
        </w:rPr>
        <w:t xml:space="preserve"> </w:t>
      </w:r>
      <w:r>
        <w:rPr>
          <w:rFonts w:hint="eastAsia"/>
          <w:color w:val="000000"/>
          <w:sz w:val="36"/>
          <w:szCs w:val="36"/>
        </w:rPr>
        <w:t>投标文件格式</w:t>
      </w:r>
      <w:bookmarkEnd w:id="249"/>
      <w:bookmarkEnd w:id="250"/>
      <w:bookmarkEnd w:id="251"/>
      <w:bookmarkEnd w:id="252"/>
    </w:p>
    <w:p>
      <w:pPr>
        <w:pStyle w:val="3"/>
        <w:spacing w:line="360" w:lineRule="auto"/>
        <w:ind w:firstLine="482"/>
        <w:rPr>
          <w:b/>
          <w:color w:val="000000"/>
        </w:rPr>
      </w:pPr>
      <w:bookmarkStart w:id="253" w:name="_Toc523214656"/>
      <w:bookmarkStart w:id="254" w:name="_Toc523210793"/>
      <w:bookmarkStart w:id="255" w:name="_Toc125855791"/>
      <w:bookmarkStart w:id="256" w:name="_Toc125217150"/>
      <w:r>
        <w:rPr>
          <w:rFonts w:hint="eastAsia"/>
          <w:b/>
          <w:color w:val="000000"/>
        </w:rPr>
        <w:t>附件</w:t>
      </w:r>
      <w:r>
        <w:rPr>
          <w:b/>
          <w:color w:val="000000"/>
        </w:rPr>
        <w:t xml:space="preserve">1 </w:t>
      </w:r>
      <w:r>
        <w:rPr>
          <w:rFonts w:hint="eastAsia"/>
          <w:b/>
          <w:color w:val="000000"/>
        </w:rPr>
        <w:t>项目投标书</w:t>
      </w:r>
      <w:bookmarkEnd w:id="253"/>
      <w:bookmarkEnd w:id="254"/>
      <w:bookmarkEnd w:id="255"/>
      <w:bookmarkEnd w:id="256"/>
    </w:p>
    <w:p>
      <w:pPr>
        <w:spacing w:line="360" w:lineRule="auto"/>
        <w:ind w:firstLine="480"/>
      </w:pPr>
    </w:p>
    <w:p>
      <w:pPr>
        <w:spacing w:line="360" w:lineRule="auto"/>
        <w:ind w:firstLine="480"/>
      </w:pPr>
      <w:bookmarkStart w:id="257" w:name="_Toc237970871"/>
      <w:bookmarkStart w:id="258" w:name="_Toc237944319"/>
      <w:r>
        <w:rPr>
          <w:rFonts w:hint="eastAsia"/>
        </w:rPr>
        <w:t>致：</w:t>
      </w:r>
      <w:bookmarkEnd w:id="257"/>
      <w:bookmarkEnd w:id="258"/>
      <w:r>
        <w:rPr>
          <w:rFonts w:hint="eastAsia" w:ascii="宋体" w:hAnsi="宋体" w:cs="Arial"/>
          <w:color w:val="000000"/>
        </w:rPr>
        <w:t xml:space="preserve"> 江苏太极实业新材料有限公司</w:t>
      </w:r>
    </w:p>
    <w:p>
      <w:pPr>
        <w:spacing w:line="360" w:lineRule="auto"/>
        <w:ind w:firstLine="480"/>
      </w:pPr>
      <w:bookmarkStart w:id="259" w:name="_Toc237970872"/>
      <w:r>
        <w:rPr>
          <w:rFonts w:hint="eastAsia"/>
        </w:rPr>
        <w:t>根据贵方为《</w:t>
      </w:r>
      <w:r>
        <w:rPr>
          <w:rFonts w:hint="eastAsia"/>
          <w:u w:val="single"/>
        </w:rPr>
        <w:t>“江苏太极”办公协同系统项目》</w:t>
      </w:r>
      <w:r>
        <w:rPr>
          <w:rFonts w:hint="eastAsia"/>
        </w:rPr>
        <w:t>邀标采购软件产品及实施服务的投标邀请，签字代表</w:t>
      </w:r>
      <w:r>
        <w:t xml:space="preserve">          </w:t>
      </w:r>
      <w:r>
        <w:rPr>
          <w:rFonts w:hint="eastAsia"/>
        </w:rPr>
        <w:t xml:space="preserve">    </w:t>
      </w:r>
      <w:r>
        <w:t xml:space="preserve">  </w:t>
      </w:r>
      <w:r>
        <w:rPr>
          <w:rFonts w:hint="eastAsia"/>
        </w:rPr>
        <w:t xml:space="preserve">（全名、职务）经正式授权并代表投标人 </w:t>
      </w:r>
      <w:r>
        <w:t xml:space="preserve">                   </w:t>
      </w:r>
      <w:r>
        <w:rPr>
          <w:rFonts w:hint="eastAsia"/>
        </w:rPr>
        <w:t xml:space="preserve">          </w:t>
      </w:r>
      <w:r>
        <w:t xml:space="preserve">         </w:t>
      </w:r>
      <w:r>
        <w:rPr>
          <w:rFonts w:hint="eastAsia"/>
        </w:rPr>
        <w:t xml:space="preserve">   （投标人全称、地址）提交下述文件正本一份和副本一份。</w:t>
      </w:r>
      <w:bookmarkEnd w:id="259"/>
    </w:p>
    <w:p>
      <w:pPr>
        <w:numPr>
          <w:ilvl w:val="0"/>
          <w:numId w:val="27"/>
        </w:numPr>
        <w:spacing w:line="360" w:lineRule="auto"/>
        <w:ind w:firstLineChars="0"/>
      </w:pPr>
      <w:bookmarkStart w:id="260" w:name="_Toc237970873"/>
      <w:r>
        <w:rPr>
          <w:rFonts w:hint="eastAsia"/>
        </w:rPr>
        <w:t>开标一览表</w:t>
      </w:r>
      <w:bookmarkEnd w:id="260"/>
    </w:p>
    <w:p>
      <w:pPr>
        <w:numPr>
          <w:ilvl w:val="0"/>
          <w:numId w:val="27"/>
        </w:numPr>
        <w:spacing w:line="360" w:lineRule="auto"/>
        <w:ind w:firstLineChars="0"/>
      </w:pPr>
      <w:bookmarkStart w:id="261" w:name="_Toc237970874"/>
      <w:r>
        <w:rPr>
          <w:rFonts w:hint="eastAsia"/>
        </w:rPr>
        <w:t>商务方案</w:t>
      </w:r>
      <w:bookmarkEnd w:id="261"/>
    </w:p>
    <w:p>
      <w:pPr>
        <w:numPr>
          <w:ilvl w:val="0"/>
          <w:numId w:val="27"/>
        </w:numPr>
        <w:spacing w:line="360" w:lineRule="auto"/>
        <w:ind w:firstLineChars="0"/>
      </w:pPr>
      <w:bookmarkStart w:id="262" w:name="_Toc237970875"/>
      <w:r>
        <w:rPr>
          <w:rFonts w:hint="eastAsia"/>
        </w:rPr>
        <w:t>技术方案书</w:t>
      </w:r>
      <w:bookmarkEnd w:id="262"/>
    </w:p>
    <w:p>
      <w:pPr>
        <w:numPr>
          <w:ilvl w:val="0"/>
          <w:numId w:val="27"/>
        </w:numPr>
        <w:spacing w:line="360" w:lineRule="auto"/>
        <w:ind w:firstLineChars="0"/>
      </w:pPr>
      <w:bookmarkStart w:id="263" w:name="_Toc237970877"/>
      <w:r>
        <w:rPr>
          <w:rFonts w:hint="eastAsia"/>
        </w:rPr>
        <w:t>按投标人须知要求提供的全部文件</w:t>
      </w:r>
      <w:bookmarkEnd w:id="263"/>
    </w:p>
    <w:p>
      <w:pPr>
        <w:numPr>
          <w:ilvl w:val="0"/>
          <w:numId w:val="27"/>
        </w:numPr>
        <w:spacing w:line="360" w:lineRule="auto"/>
        <w:ind w:firstLineChars="0"/>
      </w:pPr>
      <w:bookmarkStart w:id="264" w:name="_Toc237970878"/>
      <w:r>
        <w:rPr>
          <w:rFonts w:hint="eastAsia"/>
        </w:rPr>
        <w:t>资格证明文件</w:t>
      </w:r>
      <w:bookmarkEnd w:id="264"/>
    </w:p>
    <w:p>
      <w:pPr>
        <w:spacing w:line="360" w:lineRule="auto"/>
        <w:ind w:firstLine="480"/>
      </w:pPr>
    </w:p>
    <w:p>
      <w:pPr>
        <w:spacing w:line="360" w:lineRule="auto"/>
        <w:ind w:firstLine="480"/>
      </w:pPr>
    </w:p>
    <w:p>
      <w:pPr>
        <w:spacing w:line="360" w:lineRule="auto"/>
        <w:ind w:firstLine="480"/>
      </w:pPr>
      <w:bookmarkStart w:id="265" w:name="_Toc237970879"/>
      <w:r>
        <w:rPr>
          <w:rFonts w:hint="eastAsia"/>
        </w:rPr>
        <w:t>据此函，签字代表宣布同意如下：</w:t>
      </w:r>
      <w:bookmarkEnd w:id="265"/>
    </w:p>
    <w:p>
      <w:pPr>
        <w:numPr>
          <w:ilvl w:val="0"/>
          <w:numId w:val="28"/>
        </w:numPr>
        <w:spacing w:line="360" w:lineRule="auto"/>
        <w:ind w:firstLineChars="0"/>
      </w:pPr>
      <w:bookmarkStart w:id="266" w:name="_Toc237970880"/>
      <w:r>
        <w:rPr>
          <w:rFonts w:hint="eastAsia"/>
        </w:rPr>
        <w:t>所附投标报价表中规定的应提供和交付的产品投标总价</w:t>
      </w:r>
      <w:r>
        <w:rPr>
          <w:rFonts w:hint="eastAsia"/>
          <w:lang w:val="en-US" w:eastAsia="zh-CN"/>
        </w:rPr>
        <w:t>(无税价)</w:t>
      </w:r>
      <w:r>
        <w:rPr>
          <w:rFonts w:hint="eastAsia"/>
        </w:rPr>
        <w:t>为</w:t>
      </w:r>
      <w:r>
        <w:t xml:space="preserve">           </w:t>
      </w:r>
      <w:r>
        <w:rPr>
          <w:rFonts w:hint="eastAsia"/>
        </w:rPr>
        <w:t>（人民币），即</w:t>
      </w:r>
      <w:r>
        <w:t xml:space="preserve">                 </w:t>
      </w:r>
      <w:r>
        <w:rPr>
          <w:rFonts w:hint="eastAsia"/>
        </w:rPr>
        <w:t>（人民币）。</w:t>
      </w:r>
      <w:bookmarkEnd w:id="266"/>
    </w:p>
    <w:p>
      <w:pPr>
        <w:numPr>
          <w:ilvl w:val="0"/>
          <w:numId w:val="28"/>
        </w:numPr>
        <w:spacing w:line="360" w:lineRule="auto"/>
        <w:ind w:firstLineChars="0"/>
      </w:pPr>
      <w:bookmarkStart w:id="267" w:name="_Toc237970881"/>
      <w:r>
        <w:rPr>
          <w:rFonts w:hint="eastAsia"/>
        </w:rPr>
        <w:t>投标人将按邀标文件的规定履行合同责任和义务。</w:t>
      </w:r>
      <w:bookmarkEnd w:id="267"/>
    </w:p>
    <w:p>
      <w:pPr>
        <w:numPr>
          <w:ilvl w:val="0"/>
          <w:numId w:val="28"/>
        </w:numPr>
        <w:spacing w:line="360" w:lineRule="auto"/>
        <w:ind w:firstLineChars="0"/>
      </w:pPr>
      <w:bookmarkStart w:id="268" w:name="_Toc237970882"/>
      <w:r>
        <w:rPr>
          <w:rFonts w:hint="eastAsia"/>
        </w:rPr>
        <w:t>投标人已详细审查全部邀标文件，包括修改文件（如有的话）以及全部参考资料和有关附件。我们完全理解并同意放弃对这方面有不明及误解的权利。</w:t>
      </w:r>
      <w:bookmarkEnd w:id="268"/>
    </w:p>
    <w:p>
      <w:pPr>
        <w:numPr>
          <w:ilvl w:val="0"/>
          <w:numId w:val="28"/>
        </w:numPr>
        <w:spacing w:line="360" w:lineRule="auto"/>
        <w:ind w:firstLineChars="0"/>
      </w:pPr>
      <w:bookmarkStart w:id="269" w:name="_Toc237970883"/>
      <w:r>
        <w:rPr>
          <w:rFonts w:hint="eastAsia"/>
        </w:rPr>
        <w:t>其投标自开标日起有效期为10个日历日。</w:t>
      </w:r>
      <w:bookmarkEnd w:id="269"/>
    </w:p>
    <w:p>
      <w:pPr>
        <w:numPr>
          <w:ilvl w:val="0"/>
          <w:numId w:val="28"/>
        </w:numPr>
        <w:spacing w:line="360" w:lineRule="auto"/>
        <w:ind w:firstLineChars="0"/>
      </w:pPr>
      <w:bookmarkStart w:id="270" w:name="_Toc237970884"/>
      <w:r>
        <w:rPr>
          <w:rFonts w:hint="eastAsia"/>
        </w:rPr>
        <w:t>投标人同意提供按照贵方可能要求的与其投标有关的一切数据或资料，完全理解并接受贵方不一定接受最低价的投标或收到的任何投标。</w:t>
      </w:r>
      <w:bookmarkEnd w:id="270"/>
    </w:p>
    <w:p>
      <w:pPr>
        <w:spacing w:line="360" w:lineRule="auto"/>
        <w:ind w:firstLine="480"/>
      </w:pPr>
      <w:bookmarkStart w:id="271" w:name="_Toc237970885"/>
      <w:r>
        <w:rPr>
          <w:rFonts w:hint="eastAsia"/>
        </w:rPr>
        <w:t>与本投标有关的一切正式往来通讯请寄：</w:t>
      </w:r>
      <w:bookmarkEnd w:id="271"/>
    </w:p>
    <w:p>
      <w:pPr>
        <w:spacing w:line="360" w:lineRule="auto"/>
        <w:ind w:firstLine="480"/>
      </w:pPr>
      <w:bookmarkStart w:id="272" w:name="_Toc237970886"/>
      <w:r>
        <w:rPr>
          <w:rFonts w:hint="eastAsia"/>
        </w:rPr>
        <w:t>地址：</w:t>
      </w:r>
      <w:r>
        <w:t xml:space="preserve">                            </w:t>
      </w:r>
      <w:r>
        <w:rPr>
          <w:rFonts w:hint="eastAsia"/>
        </w:rPr>
        <w:t>邮编：</w:t>
      </w:r>
      <w:bookmarkEnd w:id="272"/>
      <w:r>
        <w:t xml:space="preserve">                         </w:t>
      </w:r>
    </w:p>
    <w:p>
      <w:pPr>
        <w:spacing w:line="360" w:lineRule="auto"/>
        <w:ind w:firstLine="480"/>
      </w:pPr>
      <w:bookmarkStart w:id="273" w:name="_Toc237970887"/>
      <w:r>
        <w:rPr>
          <w:rFonts w:hint="eastAsia"/>
        </w:rPr>
        <w:t>电话：</w:t>
      </w:r>
      <w:r>
        <w:t xml:space="preserve">                            </w:t>
      </w:r>
      <w:r>
        <w:rPr>
          <w:rFonts w:hint="eastAsia"/>
        </w:rPr>
        <w:t>传真：</w:t>
      </w:r>
      <w:bookmarkEnd w:id="273"/>
      <w:r>
        <w:t xml:space="preserve">                         </w:t>
      </w:r>
    </w:p>
    <w:p>
      <w:pPr>
        <w:spacing w:line="360" w:lineRule="auto"/>
        <w:ind w:firstLine="480"/>
      </w:pPr>
      <w:bookmarkStart w:id="274" w:name="_Toc237970888"/>
      <w:r>
        <w:rPr>
          <w:rFonts w:hint="eastAsia"/>
        </w:rPr>
        <w:t>投标人代表姓名、职务（印刷体）：</w:t>
      </w:r>
      <w:bookmarkEnd w:id="274"/>
      <w:r>
        <w:t xml:space="preserve">                                 </w:t>
      </w:r>
    </w:p>
    <w:p>
      <w:pPr>
        <w:spacing w:line="360" w:lineRule="auto"/>
        <w:ind w:firstLine="480"/>
      </w:pPr>
      <w:bookmarkStart w:id="275" w:name="_Toc237970889"/>
      <w:r>
        <w:rPr>
          <w:rFonts w:hint="eastAsia"/>
        </w:rPr>
        <w:t>投标人名称：</w:t>
      </w:r>
      <w:bookmarkEnd w:id="275"/>
      <w:r>
        <w:t xml:space="preserve">                                                     </w:t>
      </w:r>
    </w:p>
    <w:p>
      <w:pPr>
        <w:spacing w:line="360" w:lineRule="auto"/>
        <w:ind w:firstLine="480"/>
      </w:pPr>
      <w:bookmarkStart w:id="276" w:name="_Toc237970890"/>
      <w:r>
        <w:rPr>
          <w:rFonts w:hint="eastAsia"/>
        </w:rPr>
        <w:t>（公章）：</w:t>
      </w:r>
      <w:bookmarkEnd w:id="276"/>
      <w:r>
        <w:t xml:space="preserve">                                                       </w:t>
      </w:r>
    </w:p>
    <w:p>
      <w:pPr>
        <w:spacing w:line="360" w:lineRule="auto"/>
        <w:ind w:firstLine="480"/>
      </w:pPr>
      <w:bookmarkStart w:id="277" w:name="_Toc237970891"/>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bookmarkEnd w:id="277"/>
    </w:p>
    <w:p>
      <w:pPr>
        <w:spacing w:line="360" w:lineRule="auto"/>
        <w:ind w:firstLine="480"/>
      </w:pPr>
      <w:bookmarkStart w:id="278" w:name="_Toc237970892"/>
      <w:r>
        <w:rPr>
          <w:rFonts w:hint="eastAsia"/>
        </w:rPr>
        <w:t>全权代表签字：</w:t>
      </w:r>
      <w:bookmarkEnd w:id="278"/>
      <w:r>
        <w:t xml:space="preserve">                    </w:t>
      </w:r>
    </w:p>
    <w:p>
      <w:pPr>
        <w:pStyle w:val="3"/>
        <w:tabs>
          <w:tab w:val="left" w:pos="900"/>
        </w:tabs>
        <w:spacing w:line="360" w:lineRule="auto"/>
        <w:ind w:firstLine="480"/>
        <w:rPr>
          <w:b/>
          <w:color w:val="000000"/>
        </w:rPr>
      </w:pPr>
      <w:r>
        <w:rPr>
          <w:color w:val="000000"/>
        </w:rPr>
        <w:br w:type="page"/>
      </w:r>
      <w:bookmarkStart w:id="279" w:name="_Toc125217151"/>
      <w:bookmarkStart w:id="280" w:name="_Toc125855792"/>
      <w:bookmarkStart w:id="281" w:name="_Toc523210794"/>
      <w:bookmarkStart w:id="282" w:name="_Toc523214657"/>
      <w:r>
        <w:rPr>
          <w:rFonts w:hint="eastAsia"/>
          <w:b/>
          <w:color w:val="000000"/>
        </w:rPr>
        <w:t>附件</w:t>
      </w:r>
      <w:r>
        <w:rPr>
          <w:b/>
          <w:color w:val="000000"/>
        </w:rPr>
        <w:t>2</w:t>
      </w:r>
      <w:r>
        <w:rPr>
          <w:rFonts w:hint="eastAsia"/>
          <w:b/>
          <w:color w:val="000000"/>
        </w:rPr>
        <w:t xml:space="preserve"> 开标一览表</w:t>
      </w:r>
      <w:bookmarkEnd w:id="279"/>
      <w:bookmarkEnd w:id="280"/>
      <w:bookmarkEnd w:id="281"/>
      <w:bookmarkEnd w:id="282"/>
    </w:p>
    <w:p>
      <w:pPr>
        <w:spacing w:line="360" w:lineRule="auto"/>
        <w:ind w:firstLine="480"/>
      </w:pPr>
      <w:bookmarkStart w:id="283" w:name="_Toc237970894"/>
      <w:r>
        <w:rPr>
          <w:rFonts w:hint="eastAsia"/>
        </w:rPr>
        <w:t>投标人名称：</w:t>
      </w:r>
      <w:bookmarkEnd w:id="283"/>
      <w:r>
        <w:t xml:space="preserve">                      </w:t>
      </w:r>
      <w:r>
        <w:rPr>
          <w:rFonts w:hint="eastAsia"/>
        </w:rPr>
        <w:t xml:space="preserve">         </w:t>
      </w:r>
      <w:r>
        <w:t xml:space="preserve">            </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3150"/>
        <w:gridCol w:w="1017"/>
        <w:gridCol w:w="1705"/>
        <w:gridCol w:w="17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pPr>
              <w:spacing w:line="360" w:lineRule="auto"/>
              <w:ind w:firstLine="0" w:firstLineChars="0"/>
              <w:jc w:val="center"/>
            </w:pPr>
            <w:bookmarkStart w:id="284" w:name="_Toc237970895"/>
            <w:r>
              <w:rPr>
                <w:rFonts w:hint="eastAsia"/>
              </w:rPr>
              <w:t>序号</w:t>
            </w:r>
            <w:bookmarkEnd w:id="284"/>
          </w:p>
        </w:tc>
        <w:tc>
          <w:tcPr>
            <w:tcW w:w="3150" w:type="dxa"/>
            <w:vAlign w:val="center"/>
          </w:tcPr>
          <w:p>
            <w:pPr>
              <w:spacing w:line="360" w:lineRule="auto"/>
              <w:ind w:firstLine="480"/>
              <w:jc w:val="center"/>
            </w:pPr>
            <w:bookmarkStart w:id="285" w:name="_Toc237970896"/>
            <w:r>
              <w:rPr>
                <w:rFonts w:hint="eastAsia"/>
              </w:rPr>
              <w:t>产品名称规格</w:t>
            </w:r>
            <w:bookmarkEnd w:id="285"/>
          </w:p>
        </w:tc>
        <w:tc>
          <w:tcPr>
            <w:tcW w:w="1017" w:type="dxa"/>
            <w:vAlign w:val="center"/>
          </w:tcPr>
          <w:p>
            <w:pPr>
              <w:spacing w:line="360" w:lineRule="auto"/>
              <w:ind w:firstLine="0" w:firstLineChars="0"/>
              <w:jc w:val="center"/>
            </w:pPr>
            <w:bookmarkStart w:id="286" w:name="_Toc237970897"/>
            <w:r>
              <w:rPr>
                <w:rFonts w:hint="eastAsia"/>
              </w:rPr>
              <w:t>数量</w:t>
            </w:r>
            <w:bookmarkEnd w:id="286"/>
          </w:p>
        </w:tc>
        <w:tc>
          <w:tcPr>
            <w:tcW w:w="1705" w:type="dxa"/>
            <w:vAlign w:val="center"/>
          </w:tcPr>
          <w:p>
            <w:pPr>
              <w:spacing w:line="360" w:lineRule="auto"/>
              <w:ind w:firstLine="0" w:firstLineChars="0"/>
              <w:jc w:val="center"/>
            </w:pPr>
            <w:bookmarkStart w:id="287" w:name="_Toc237970898"/>
            <w:r>
              <w:rPr>
                <w:rFonts w:hint="eastAsia"/>
              </w:rPr>
              <w:t>投标无税总价</w:t>
            </w:r>
            <w:bookmarkEnd w:id="287"/>
          </w:p>
          <w:p>
            <w:pPr>
              <w:spacing w:line="360" w:lineRule="auto"/>
              <w:ind w:firstLine="0" w:firstLineChars="0"/>
              <w:jc w:val="center"/>
            </w:pPr>
            <w:bookmarkStart w:id="288" w:name="_Toc237970899"/>
            <w:r>
              <w:rPr>
                <w:rFonts w:hint="eastAsia"/>
              </w:rPr>
              <w:t>（人民币）</w:t>
            </w:r>
            <w:bookmarkEnd w:id="288"/>
          </w:p>
        </w:tc>
        <w:tc>
          <w:tcPr>
            <w:tcW w:w="1705" w:type="dxa"/>
            <w:vAlign w:val="center"/>
          </w:tcPr>
          <w:p>
            <w:pPr>
              <w:spacing w:line="360" w:lineRule="auto"/>
              <w:ind w:firstLine="0" w:firstLineChars="0"/>
              <w:jc w:val="center"/>
            </w:pPr>
            <w:bookmarkStart w:id="289" w:name="_Toc237970900"/>
            <w:r>
              <w:rPr>
                <w:rFonts w:hint="eastAsia"/>
              </w:rPr>
              <w:t>交货期</w:t>
            </w:r>
            <w:bookmarkEnd w:id="28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pPr>
              <w:spacing w:line="360" w:lineRule="auto"/>
              <w:ind w:firstLine="482"/>
              <w:jc w:val="center"/>
              <w:rPr>
                <w:b/>
              </w:rPr>
            </w:pPr>
          </w:p>
        </w:tc>
        <w:tc>
          <w:tcPr>
            <w:tcW w:w="3150" w:type="dxa"/>
            <w:vAlign w:val="center"/>
          </w:tcPr>
          <w:p>
            <w:pPr>
              <w:spacing w:line="360" w:lineRule="auto"/>
              <w:ind w:firstLine="482"/>
              <w:jc w:val="center"/>
              <w:rPr>
                <w:b/>
              </w:rPr>
            </w:pPr>
          </w:p>
        </w:tc>
        <w:tc>
          <w:tcPr>
            <w:tcW w:w="1017" w:type="dxa"/>
            <w:vAlign w:val="center"/>
          </w:tcPr>
          <w:p>
            <w:pPr>
              <w:spacing w:line="360" w:lineRule="auto"/>
              <w:ind w:firstLine="482"/>
              <w:jc w:val="center"/>
              <w:rPr>
                <w:b/>
              </w:rPr>
            </w:pPr>
          </w:p>
        </w:tc>
        <w:tc>
          <w:tcPr>
            <w:tcW w:w="1705" w:type="dxa"/>
            <w:vAlign w:val="center"/>
          </w:tcPr>
          <w:p>
            <w:pPr>
              <w:spacing w:line="360" w:lineRule="auto"/>
              <w:ind w:firstLine="482"/>
              <w:jc w:val="center"/>
              <w:rPr>
                <w:b/>
              </w:rPr>
            </w:pPr>
          </w:p>
        </w:tc>
        <w:tc>
          <w:tcPr>
            <w:tcW w:w="1705" w:type="dxa"/>
            <w:vAlign w:val="center"/>
          </w:tcPr>
          <w:p>
            <w:pPr>
              <w:spacing w:line="360" w:lineRule="auto"/>
              <w:ind w:firstLine="482"/>
              <w:jc w:val="center"/>
              <w:rPr>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pPr>
              <w:spacing w:line="360" w:lineRule="auto"/>
              <w:ind w:firstLine="482"/>
              <w:jc w:val="center"/>
              <w:rPr>
                <w:b/>
              </w:rPr>
            </w:pPr>
          </w:p>
        </w:tc>
        <w:tc>
          <w:tcPr>
            <w:tcW w:w="3150" w:type="dxa"/>
            <w:vAlign w:val="center"/>
          </w:tcPr>
          <w:p>
            <w:pPr>
              <w:spacing w:line="360" w:lineRule="auto"/>
              <w:ind w:firstLine="482"/>
              <w:jc w:val="center"/>
              <w:rPr>
                <w:b/>
              </w:rPr>
            </w:pPr>
          </w:p>
        </w:tc>
        <w:tc>
          <w:tcPr>
            <w:tcW w:w="1017" w:type="dxa"/>
            <w:vAlign w:val="center"/>
          </w:tcPr>
          <w:p>
            <w:pPr>
              <w:spacing w:line="360" w:lineRule="auto"/>
              <w:ind w:firstLine="482"/>
              <w:jc w:val="center"/>
              <w:rPr>
                <w:b/>
              </w:rPr>
            </w:pPr>
          </w:p>
        </w:tc>
        <w:tc>
          <w:tcPr>
            <w:tcW w:w="1705" w:type="dxa"/>
            <w:vAlign w:val="center"/>
          </w:tcPr>
          <w:p>
            <w:pPr>
              <w:spacing w:line="360" w:lineRule="auto"/>
              <w:ind w:firstLine="482"/>
              <w:jc w:val="center"/>
              <w:rPr>
                <w:b/>
              </w:rPr>
            </w:pPr>
          </w:p>
        </w:tc>
        <w:tc>
          <w:tcPr>
            <w:tcW w:w="1705" w:type="dxa"/>
            <w:vAlign w:val="center"/>
          </w:tcPr>
          <w:p>
            <w:pPr>
              <w:spacing w:line="360" w:lineRule="auto"/>
              <w:ind w:firstLine="482"/>
              <w:jc w:val="center"/>
              <w:rPr>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8" w:type="dxa"/>
            <w:vAlign w:val="center"/>
          </w:tcPr>
          <w:p>
            <w:pPr>
              <w:spacing w:line="360" w:lineRule="auto"/>
              <w:ind w:firstLine="482"/>
              <w:jc w:val="center"/>
              <w:rPr>
                <w:b/>
              </w:rPr>
            </w:pPr>
          </w:p>
        </w:tc>
        <w:tc>
          <w:tcPr>
            <w:tcW w:w="3150" w:type="dxa"/>
            <w:vAlign w:val="center"/>
          </w:tcPr>
          <w:p>
            <w:pPr>
              <w:spacing w:line="360" w:lineRule="auto"/>
              <w:ind w:firstLine="482"/>
              <w:jc w:val="center"/>
              <w:rPr>
                <w:b/>
              </w:rPr>
            </w:pPr>
          </w:p>
        </w:tc>
        <w:tc>
          <w:tcPr>
            <w:tcW w:w="1017" w:type="dxa"/>
            <w:vAlign w:val="center"/>
          </w:tcPr>
          <w:p>
            <w:pPr>
              <w:spacing w:line="360" w:lineRule="auto"/>
              <w:ind w:firstLine="482"/>
              <w:jc w:val="center"/>
              <w:rPr>
                <w:b/>
              </w:rPr>
            </w:pPr>
          </w:p>
        </w:tc>
        <w:tc>
          <w:tcPr>
            <w:tcW w:w="1705" w:type="dxa"/>
            <w:vAlign w:val="center"/>
          </w:tcPr>
          <w:p>
            <w:pPr>
              <w:spacing w:line="360" w:lineRule="auto"/>
              <w:ind w:firstLine="482"/>
              <w:jc w:val="center"/>
              <w:rPr>
                <w:b/>
              </w:rPr>
            </w:pPr>
          </w:p>
        </w:tc>
        <w:tc>
          <w:tcPr>
            <w:tcW w:w="1705" w:type="dxa"/>
            <w:vAlign w:val="center"/>
          </w:tcPr>
          <w:p>
            <w:pPr>
              <w:spacing w:line="360" w:lineRule="auto"/>
              <w:ind w:firstLine="482"/>
              <w:jc w:val="center"/>
              <w:rPr>
                <w:b/>
              </w:rPr>
            </w:pPr>
          </w:p>
        </w:tc>
      </w:tr>
    </w:tbl>
    <w:p>
      <w:pPr>
        <w:spacing w:line="360" w:lineRule="auto"/>
        <w:ind w:firstLine="480"/>
      </w:pPr>
    </w:p>
    <w:p>
      <w:pPr>
        <w:spacing w:line="360" w:lineRule="auto"/>
        <w:ind w:firstLine="480"/>
      </w:pPr>
      <w:bookmarkStart w:id="290" w:name="_Toc237970901"/>
      <w:r>
        <w:rPr>
          <w:rFonts w:hint="eastAsia"/>
        </w:rPr>
        <w:t>投标人代表签字：</w:t>
      </w:r>
      <w:bookmarkEnd w:id="290"/>
      <w:r>
        <w:t xml:space="preserve">                               </w:t>
      </w:r>
    </w:p>
    <w:p>
      <w:pPr>
        <w:spacing w:line="360" w:lineRule="auto"/>
        <w:ind w:firstLine="480"/>
      </w:pPr>
      <w:bookmarkStart w:id="291" w:name="_Toc237970902"/>
      <w:r>
        <w:rPr>
          <w:rFonts w:hint="eastAsia"/>
        </w:rPr>
        <w:t>职务：</w:t>
      </w:r>
      <w:r>
        <w:t xml:space="preserve">                   </w:t>
      </w:r>
      <w:r>
        <w:rPr>
          <w:rFonts w:hint="eastAsia"/>
        </w:rPr>
        <w:t>日期：</w:t>
      </w:r>
      <w:bookmarkEnd w:id="291"/>
      <w:r>
        <w:t xml:space="preserve">                </w:t>
      </w:r>
    </w:p>
    <w:p>
      <w:pPr>
        <w:spacing w:line="360" w:lineRule="auto"/>
        <w:ind w:firstLine="480"/>
      </w:pPr>
    </w:p>
    <w:p>
      <w:pPr>
        <w:pStyle w:val="3"/>
        <w:spacing w:line="360" w:lineRule="auto"/>
        <w:ind w:firstLine="482"/>
        <w:rPr>
          <w:b/>
          <w:color w:val="000000"/>
        </w:rPr>
      </w:pPr>
      <w:bookmarkStart w:id="292" w:name="_Toc125217152"/>
      <w:bookmarkStart w:id="293" w:name="_Toc125855793"/>
      <w:bookmarkStart w:id="294" w:name="_Toc523210795"/>
      <w:bookmarkStart w:id="295" w:name="_Toc523214658"/>
      <w:r>
        <w:rPr>
          <w:rFonts w:hint="eastAsia"/>
          <w:b/>
          <w:color w:val="000000"/>
        </w:rPr>
        <w:t>附件</w:t>
      </w:r>
      <w:r>
        <w:rPr>
          <w:b/>
          <w:color w:val="000000"/>
        </w:rPr>
        <w:t>3</w:t>
      </w:r>
      <w:r>
        <w:rPr>
          <w:rFonts w:hint="eastAsia"/>
          <w:b/>
          <w:color w:val="000000"/>
        </w:rPr>
        <w:t xml:space="preserve"> 投标价格表</w:t>
      </w:r>
      <w:bookmarkEnd w:id="292"/>
      <w:bookmarkEnd w:id="293"/>
      <w:bookmarkEnd w:id="294"/>
      <w:bookmarkEnd w:id="295"/>
    </w:p>
    <w:p>
      <w:pPr>
        <w:spacing w:line="360" w:lineRule="auto"/>
        <w:ind w:firstLine="480"/>
      </w:pPr>
      <w:bookmarkStart w:id="296" w:name="_Toc237970904"/>
      <w:r>
        <w:rPr>
          <w:rFonts w:hint="eastAsia"/>
        </w:rPr>
        <w:t>投标人名称</w:t>
      </w:r>
      <w:r>
        <w:t xml:space="preserve">                 </w:t>
      </w:r>
      <w:r>
        <w:rPr>
          <w:rFonts w:hint="eastAsia"/>
        </w:rPr>
        <w:t xml:space="preserve">         货币单位</w:t>
      </w:r>
      <w:bookmarkEnd w:id="296"/>
      <w:r>
        <w:rPr>
          <w:rFonts w:hint="eastAsia"/>
        </w:rPr>
        <w:t>：万元</w:t>
      </w:r>
      <w:r>
        <w:t xml:space="preserve"> </w:t>
      </w:r>
      <w:r>
        <w:rPr>
          <w:rFonts w:hint="eastAsia"/>
        </w:rPr>
        <w:t>（人民币）</w:t>
      </w:r>
    </w:p>
    <w:tbl>
      <w:tblPr>
        <w:tblStyle w:val="12"/>
        <w:tblW w:w="9008" w:type="dxa"/>
        <w:tblInd w:w="0"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879"/>
        <w:gridCol w:w="1675"/>
        <w:gridCol w:w="875"/>
        <w:gridCol w:w="1175"/>
        <w:gridCol w:w="641"/>
        <w:gridCol w:w="1025"/>
      </w:tblGrid>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0" w:firstLineChars="0"/>
              <w:jc w:val="center"/>
              <w:rPr>
                <w:b/>
              </w:rPr>
            </w:pPr>
            <w:bookmarkStart w:id="297" w:name="_Toc237970905"/>
            <w:r>
              <w:rPr>
                <w:rFonts w:hint="eastAsia"/>
                <w:b/>
              </w:rPr>
              <w:t>序号</w:t>
            </w:r>
            <w:bookmarkEnd w:id="297"/>
          </w:p>
        </w:tc>
        <w:tc>
          <w:tcPr>
            <w:tcW w:w="2879" w:type="dxa"/>
            <w:tcBorders>
              <w:right w:val="single" w:color="auto" w:sz="4" w:space="0"/>
            </w:tcBorders>
            <w:vAlign w:val="center"/>
          </w:tcPr>
          <w:p>
            <w:pPr>
              <w:spacing w:line="360" w:lineRule="auto"/>
              <w:ind w:firstLine="0" w:firstLineChars="0"/>
              <w:jc w:val="center"/>
              <w:rPr>
                <w:b/>
              </w:rPr>
            </w:pPr>
            <w:bookmarkStart w:id="298" w:name="_Toc237970906"/>
            <w:r>
              <w:rPr>
                <w:rFonts w:hint="eastAsia"/>
                <w:b/>
              </w:rPr>
              <w:t>产品名称（软硬件、服务等）</w:t>
            </w:r>
            <w:bookmarkEnd w:id="298"/>
          </w:p>
        </w:tc>
        <w:tc>
          <w:tcPr>
            <w:tcW w:w="1675" w:type="dxa"/>
            <w:tcBorders>
              <w:left w:val="single" w:color="auto" w:sz="4" w:space="0"/>
            </w:tcBorders>
            <w:vAlign w:val="center"/>
          </w:tcPr>
          <w:p>
            <w:pPr>
              <w:spacing w:line="360" w:lineRule="auto"/>
              <w:ind w:firstLine="0" w:firstLineChars="0"/>
              <w:jc w:val="center"/>
              <w:rPr>
                <w:b/>
              </w:rPr>
            </w:pPr>
            <w:bookmarkStart w:id="299" w:name="_Toc237970907"/>
            <w:r>
              <w:rPr>
                <w:rFonts w:hint="eastAsia"/>
                <w:b/>
              </w:rPr>
              <w:t>产品说明</w:t>
            </w:r>
            <w:bookmarkEnd w:id="299"/>
          </w:p>
        </w:tc>
        <w:tc>
          <w:tcPr>
            <w:tcW w:w="875" w:type="dxa"/>
            <w:vAlign w:val="center"/>
          </w:tcPr>
          <w:p>
            <w:pPr>
              <w:spacing w:line="360" w:lineRule="auto"/>
              <w:ind w:firstLine="0" w:firstLineChars="0"/>
              <w:jc w:val="center"/>
              <w:rPr>
                <w:b/>
              </w:rPr>
            </w:pPr>
            <w:bookmarkStart w:id="300" w:name="_Toc237970908"/>
            <w:r>
              <w:rPr>
                <w:rFonts w:hint="eastAsia"/>
                <w:b/>
              </w:rPr>
              <w:t>数量</w:t>
            </w:r>
            <w:bookmarkEnd w:id="300"/>
          </w:p>
        </w:tc>
        <w:tc>
          <w:tcPr>
            <w:tcW w:w="1175" w:type="dxa"/>
            <w:vAlign w:val="center"/>
          </w:tcPr>
          <w:p>
            <w:pPr>
              <w:spacing w:line="360" w:lineRule="auto"/>
              <w:ind w:firstLine="0" w:firstLineChars="0"/>
              <w:jc w:val="center"/>
              <w:rPr>
                <w:b/>
              </w:rPr>
            </w:pPr>
            <w:bookmarkStart w:id="301" w:name="_Toc237970909"/>
            <w:r>
              <w:rPr>
                <w:rFonts w:hint="eastAsia"/>
                <w:b/>
              </w:rPr>
              <w:t>单价</w:t>
            </w:r>
            <w:bookmarkEnd w:id="301"/>
            <w:r>
              <w:rPr>
                <w:rFonts w:hint="eastAsia"/>
                <w:b/>
              </w:rPr>
              <w:t>（无税）</w:t>
            </w:r>
          </w:p>
        </w:tc>
        <w:tc>
          <w:tcPr>
            <w:tcW w:w="641" w:type="dxa"/>
            <w:vAlign w:val="center"/>
          </w:tcPr>
          <w:p>
            <w:pPr>
              <w:spacing w:line="360" w:lineRule="auto"/>
              <w:ind w:firstLine="0" w:firstLineChars="0"/>
              <w:jc w:val="center"/>
              <w:rPr>
                <w:b/>
              </w:rPr>
            </w:pPr>
            <w:bookmarkStart w:id="302" w:name="_Toc237970910"/>
            <w:r>
              <w:rPr>
                <w:rFonts w:hint="eastAsia"/>
                <w:b/>
              </w:rPr>
              <w:t>总价</w:t>
            </w:r>
            <w:bookmarkEnd w:id="302"/>
          </w:p>
        </w:tc>
        <w:tc>
          <w:tcPr>
            <w:tcW w:w="1025" w:type="dxa"/>
            <w:vAlign w:val="center"/>
          </w:tcPr>
          <w:p>
            <w:pPr>
              <w:spacing w:line="360" w:lineRule="auto"/>
              <w:ind w:firstLine="0" w:firstLineChars="0"/>
              <w:jc w:val="center"/>
              <w:rPr>
                <w:b/>
              </w:rPr>
            </w:pPr>
            <w:bookmarkStart w:id="303" w:name="_Toc237970911"/>
            <w:r>
              <w:rPr>
                <w:rFonts w:hint="eastAsia"/>
                <w:b/>
              </w:rPr>
              <w:t>备注</w:t>
            </w:r>
            <w:bookmarkEnd w:id="303"/>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480"/>
              <w:jc w:val="center"/>
            </w:pPr>
            <w:bookmarkStart w:id="304" w:name="_Toc237970912"/>
            <w:r>
              <w:rPr>
                <w:rFonts w:hint="eastAsia"/>
              </w:rPr>
              <w:t>1</w:t>
            </w:r>
            <w:bookmarkEnd w:id="304"/>
          </w:p>
        </w:tc>
        <w:tc>
          <w:tcPr>
            <w:tcW w:w="2879" w:type="dxa"/>
            <w:tcBorders>
              <w:right w:val="single" w:color="auto" w:sz="4" w:space="0"/>
            </w:tcBorders>
            <w:vAlign w:val="center"/>
          </w:tcPr>
          <w:p>
            <w:pPr>
              <w:spacing w:line="360" w:lineRule="auto"/>
              <w:ind w:firstLine="482"/>
              <w:jc w:val="center"/>
              <w:rPr>
                <w:b/>
              </w:rPr>
            </w:pPr>
          </w:p>
        </w:tc>
        <w:tc>
          <w:tcPr>
            <w:tcW w:w="1675" w:type="dxa"/>
            <w:tcBorders>
              <w:left w:val="single" w:color="auto" w:sz="4" w:space="0"/>
            </w:tcBorders>
            <w:vAlign w:val="center"/>
          </w:tcPr>
          <w:p>
            <w:pPr>
              <w:spacing w:line="360" w:lineRule="auto"/>
              <w:ind w:firstLine="482"/>
              <w:jc w:val="center"/>
              <w:rPr>
                <w:b/>
              </w:rPr>
            </w:pPr>
          </w:p>
        </w:tc>
        <w:tc>
          <w:tcPr>
            <w:tcW w:w="875" w:type="dxa"/>
            <w:vAlign w:val="center"/>
          </w:tcPr>
          <w:p>
            <w:pPr>
              <w:spacing w:line="360" w:lineRule="auto"/>
              <w:ind w:firstLine="480"/>
              <w:jc w:val="center"/>
            </w:pPr>
          </w:p>
        </w:tc>
        <w:tc>
          <w:tcPr>
            <w:tcW w:w="1175" w:type="dxa"/>
            <w:vAlign w:val="center"/>
          </w:tcPr>
          <w:p>
            <w:pPr>
              <w:spacing w:line="360" w:lineRule="auto"/>
              <w:ind w:firstLine="480"/>
              <w:jc w:val="center"/>
            </w:pPr>
          </w:p>
        </w:tc>
        <w:tc>
          <w:tcPr>
            <w:tcW w:w="641" w:type="dxa"/>
            <w:vAlign w:val="center"/>
          </w:tcPr>
          <w:p>
            <w:pPr>
              <w:spacing w:line="360" w:lineRule="auto"/>
              <w:ind w:firstLine="480"/>
              <w:jc w:val="center"/>
            </w:pPr>
          </w:p>
        </w:tc>
        <w:tc>
          <w:tcPr>
            <w:tcW w:w="1025" w:type="dxa"/>
            <w:vAlign w:val="center"/>
          </w:tcPr>
          <w:p>
            <w:pPr>
              <w:spacing w:line="360" w:lineRule="auto"/>
              <w:ind w:firstLine="480"/>
              <w:jc w:val="cente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480"/>
              <w:jc w:val="center"/>
            </w:pPr>
            <w:bookmarkStart w:id="305" w:name="_Toc237970913"/>
            <w:r>
              <w:rPr>
                <w:rFonts w:hint="eastAsia"/>
              </w:rPr>
              <w:t>2</w:t>
            </w:r>
            <w:bookmarkEnd w:id="305"/>
          </w:p>
        </w:tc>
        <w:tc>
          <w:tcPr>
            <w:tcW w:w="2879" w:type="dxa"/>
            <w:tcBorders>
              <w:right w:val="single" w:color="auto" w:sz="4" w:space="0"/>
            </w:tcBorders>
            <w:vAlign w:val="center"/>
          </w:tcPr>
          <w:p>
            <w:pPr>
              <w:spacing w:line="360" w:lineRule="auto"/>
              <w:ind w:firstLine="480"/>
              <w:jc w:val="center"/>
            </w:pPr>
          </w:p>
        </w:tc>
        <w:tc>
          <w:tcPr>
            <w:tcW w:w="1675" w:type="dxa"/>
            <w:tcBorders>
              <w:left w:val="single" w:color="auto" w:sz="4" w:space="0"/>
            </w:tcBorders>
            <w:vAlign w:val="center"/>
          </w:tcPr>
          <w:p>
            <w:pPr>
              <w:spacing w:line="360" w:lineRule="auto"/>
              <w:ind w:firstLine="480"/>
              <w:jc w:val="center"/>
            </w:pPr>
          </w:p>
        </w:tc>
        <w:tc>
          <w:tcPr>
            <w:tcW w:w="875" w:type="dxa"/>
            <w:vAlign w:val="center"/>
          </w:tcPr>
          <w:p>
            <w:pPr>
              <w:spacing w:line="360" w:lineRule="auto"/>
              <w:ind w:firstLine="482"/>
              <w:jc w:val="center"/>
              <w:rPr>
                <w:b/>
              </w:rPr>
            </w:pPr>
          </w:p>
        </w:tc>
        <w:tc>
          <w:tcPr>
            <w:tcW w:w="1175" w:type="dxa"/>
            <w:vAlign w:val="center"/>
          </w:tcPr>
          <w:p>
            <w:pPr>
              <w:spacing w:line="360" w:lineRule="auto"/>
              <w:ind w:firstLine="482"/>
              <w:jc w:val="center"/>
              <w:rPr>
                <w:b/>
              </w:rPr>
            </w:pPr>
          </w:p>
        </w:tc>
        <w:tc>
          <w:tcPr>
            <w:tcW w:w="641" w:type="dxa"/>
            <w:vAlign w:val="center"/>
          </w:tcPr>
          <w:p>
            <w:pPr>
              <w:spacing w:line="360" w:lineRule="auto"/>
              <w:ind w:firstLine="482"/>
              <w:jc w:val="center"/>
              <w:rPr>
                <w:b/>
              </w:rPr>
            </w:pPr>
          </w:p>
        </w:tc>
        <w:tc>
          <w:tcPr>
            <w:tcW w:w="1025" w:type="dxa"/>
            <w:vAlign w:val="center"/>
          </w:tcPr>
          <w:p>
            <w:pPr>
              <w:spacing w:line="360" w:lineRule="auto"/>
              <w:ind w:firstLine="482"/>
              <w:jc w:val="center"/>
              <w:rPr>
                <w:b/>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480"/>
              <w:jc w:val="center"/>
            </w:pPr>
            <w:bookmarkStart w:id="306" w:name="_Toc237970914"/>
            <w:r>
              <w:rPr>
                <w:rFonts w:hint="eastAsia"/>
              </w:rPr>
              <w:t>3</w:t>
            </w:r>
            <w:bookmarkEnd w:id="306"/>
          </w:p>
        </w:tc>
        <w:tc>
          <w:tcPr>
            <w:tcW w:w="2879" w:type="dxa"/>
            <w:tcBorders>
              <w:right w:val="single" w:color="auto" w:sz="4" w:space="0"/>
            </w:tcBorders>
            <w:vAlign w:val="center"/>
          </w:tcPr>
          <w:p>
            <w:pPr>
              <w:spacing w:line="360" w:lineRule="auto"/>
              <w:ind w:firstLine="480"/>
              <w:jc w:val="center"/>
            </w:pPr>
          </w:p>
        </w:tc>
        <w:tc>
          <w:tcPr>
            <w:tcW w:w="1675" w:type="dxa"/>
            <w:tcBorders>
              <w:left w:val="single" w:color="auto" w:sz="4" w:space="0"/>
            </w:tcBorders>
            <w:vAlign w:val="center"/>
          </w:tcPr>
          <w:p>
            <w:pPr>
              <w:spacing w:line="360" w:lineRule="auto"/>
              <w:ind w:firstLine="480"/>
              <w:jc w:val="center"/>
            </w:pPr>
          </w:p>
        </w:tc>
        <w:tc>
          <w:tcPr>
            <w:tcW w:w="875" w:type="dxa"/>
            <w:vAlign w:val="center"/>
          </w:tcPr>
          <w:p>
            <w:pPr>
              <w:spacing w:line="360" w:lineRule="auto"/>
              <w:ind w:firstLine="482"/>
              <w:jc w:val="center"/>
              <w:rPr>
                <w:b/>
              </w:rPr>
            </w:pPr>
          </w:p>
        </w:tc>
        <w:tc>
          <w:tcPr>
            <w:tcW w:w="1175" w:type="dxa"/>
            <w:vAlign w:val="center"/>
          </w:tcPr>
          <w:p>
            <w:pPr>
              <w:spacing w:line="360" w:lineRule="auto"/>
              <w:ind w:firstLine="482"/>
              <w:jc w:val="center"/>
              <w:rPr>
                <w:b/>
              </w:rPr>
            </w:pPr>
          </w:p>
        </w:tc>
        <w:tc>
          <w:tcPr>
            <w:tcW w:w="641" w:type="dxa"/>
            <w:vAlign w:val="center"/>
          </w:tcPr>
          <w:p>
            <w:pPr>
              <w:spacing w:line="360" w:lineRule="auto"/>
              <w:ind w:firstLine="482"/>
              <w:jc w:val="center"/>
              <w:rPr>
                <w:b/>
              </w:rPr>
            </w:pPr>
          </w:p>
        </w:tc>
        <w:tc>
          <w:tcPr>
            <w:tcW w:w="1025" w:type="dxa"/>
            <w:vAlign w:val="center"/>
          </w:tcPr>
          <w:p>
            <w:pPr>
              <w:spacing w:line="360" w:lineRule="auto"/>
              <w:ind w:firstLine="482"/>
              <w:jc w:val="center"/>
              <w:rPr>
                <w:b/>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480"/>
              <w:jc w:val="center"/>
            </w:pPr>
            <w:bookmarkStart w:id="307" w:name="_Toc237970915"/>
            <w:r>
              <w:rPr>
                <w:rFonts w:hint="eastAsia"/>
              </w:rPr>
              <w:t>4</w:t>
            </w:r>
            <w:bookmarkEnd w:id="307"/>
          </w:p>
        </w:tc>
        <w:tc>
          <w:tcPr>
            <w:tcW w:w="2879" w:type="dxa"/>
            <w:tcBorders>
              <w:right w:val="single" w:color="auto" w:sz="4" w:space="0"/>
            </w:tcBorders>
            <w:vAlign w:val="center"/>
          </w:tcPr>
          <w:p>
            <w:pPr>
              <w:spacing w:line="360" w:lineRule="auto"/>
              <w:ind w:firstLine="482"/>
              <w:jc w:val="center"/>
              <w:rPr>
                <w:b/>
              </w:rPr>
            </w:pPr>
          </w:p>
        </w:tc>
        <w:tc>
          <w:tcPr>
            <w:tcW w:w="1675" w:type="dxa"/>
            <w:tcBorders>
              <w:left w:val="single" w:color="auto" w:sz="4" w:space="0"/>
            </w:tcBorders>
            <w:vAlign w:val="center"/>
          </w:tcPr>
          <w:p>
            <w:pPr>
              <w:spacing w:line="360" w:lineRule="auto"/>
              <w:ind w:firstLine="482"/>
              <w:jc w:val="center"/>
              <w:rPr>
                <w:b/>
              </w:rPr>
            </w:pPr>
          </w:p>
        </w:tc>
        <w:tc>
          <w:tcPr>
            <w:tcW w:w="875" w:type="dxa"/>
            <w:vAlign w:val="center"/>
          </w:tcPr>
          <w:p>
            <w:pPr>
              <w:spacing w:line="360" w:lineRule="auto"/>
              <w:ind w:firstLine="482"/>
              <w:jc w:val="center"/>
              <w:rPr>
                <w:b/>
              </w:rPr>
            </w:pPr>
          </w:p>
        </w:tc>
        <w:tc>
          <w:tcPr>
            <w:tcW w:w="1175" w:type="dxa"/>
            <w:vAlign w:val="center"/>
          </w:tcPr>
          <w:p>
            <w:pPr>
              <w:spacing w:line="360" w:lineRule="auto"/>
              <w:ind w:firstLine="482"/>
              <w:jc w:val="center"/>
              <w:rPr>
                <w:b/>
              </w:rPr>
            </w:pPr>
          </w:p>
        </w:tc>
        <w:tc>
          <w:tcPr>
            <w:tcW w:w="641" w:type="dxa"/>
            <w:vAlign w:val="center"/>
          </w:tcPr>
          <w:p>
            <w:pPr>
              <w:spacing w:line="360" w:lineRule="auto"/>
              <w:ind w:firstLine="482"/>
              <w:jc w:val="center"/>
              <w:rPr>
                <w:b/>
              </w:rPr>
            </w:pPr>
          </w:p>
        </w:tc>
        <w:tc>
          <w:tcPr>
            <w:tcW w:w="1025" w:type="dxa"/>
            <w:vAlign w:val="center"/>
          </w:tcPr>
          <w:p>
            <w:pPr>
              <w:spacing w:line="360" w:lineRule="auto"/>
              <w:ind w:firstLine="482"/>
              <w:jc w:val="center"/>
              <w:rPr>
                <w:b/>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480"/>
              <w:jc w:val="center"/>
            </w:pPr>
            <w:bookmarkStart w:id="308" w:name="_Toc237970916"/>
            <w:r>
              <w:rPr>
                <w:rFonts w:hint="eastAsia"/>
              </w:rPr>
              <w:t>5</w:t>
            </w:r>
            <w:bookmarkEnd w:id="308"/>
          </w:p>
        </w:tc>
        <w:tc>
          <w:tcPr>
            <w:tcW w:w="2879" w:type="dxa"/>
            <w:tcBorders>
              <w:right w:val="single" w:color="auto" w:sz="4" w:space="0"/>
            </w:tcBorders>
            <w:vAlign w:val="center"/>
          </w:tcPr>
          <w:p>
            <w:pPr>
              <w:spacing w:line="360" w:lineRule="auto"/>
              <w:ind w:firstLine="482"/>
              <w:jc w:val="center"/>
              <w:rPr>
                <w:b/>
              </w:rPr>
            </w:pPr>
          </w:p>
        </w:tc>
        <w:tc>
          <w:tcPr>
            <w:tcW w:w="1675" w:type="dxa"/>
            <w:tcBorders>
              <w:left w:val="single" w:color="auto" w:sz="4" w:space="0"/>
            </w:tcBorders>
            <w:vAlign w:val="center"/>
          </w:tcPr>
          <w:p>
            <w:pPr>
              <w:spacing w:line="360" w:lineRule="auto"/>
              <w:ind w:firstLine="482"/>
              <w:jc w:val="center"/>
              <w:rPr>
                <w:b/>
              </w:rPr>
            </w:pPr>
          </w:p>
        </w:tc>
        <w:tc>
          <w:tcPr>
            <w:tcW w:w="875" w:type="dxa"/>
            <w:vAlign w:val="center"/>
          </w:tcPr>
          <w:p>
            <w:pPr>
              <w:spacing w:line="360" w:lineRule="auto"/>
              <w:ind w:firstLine="482"/>
              <w:jc w:val="center"/>
              <w:rPr>
                <w:b/>
              </w:rPr>
            </w:pPr>
          </w:p>
        </w:tc>
        <w:tc>
          <w:tcPr>
            <w:tcW w:w="1175" w:type="dxa"/>
            <w:vAlign w:val="center"/>
          </w:tcPr>
          <w:p>
            <w:pPr>
              <w:spacing w:line="360" w:lineRule="auto"/>
              <w:ind w:firstLine="482"/>
              <w:jc w:val="center"/>
              <w:rPr>
                <w:b/>
              </w:rPr>
            </w:pPr>
          </w:p>
        </w:tc>
        <w:tc>
          <w:tcPr>
            <w:tcW w:w="641" w:type="dxa"/>
            <w:vAlign w:val="center"/>
          </w:tcPr>
          <w:p>
            <w:pPr>
              <w:spacing w:line="360" w:lineRule="auto"/>
              <w:ind w:firstLine="482"/>
              <w:jc w:val="center"/>
              <w:rPr>
                <w:b/>
              </w:rPr>
            </w:pPr>
          </w:p>
        </w:tc>
        <w:tc>
          <w:tcPr>
            <w:tcW w:w="1025" w:type="dxa"/>
            <w:vAlign w:val="center"/>
          </w:tcPr>
          <w:p>
            <w:pPr>
              <w:spacing w:line="360" w:lineRule="auto"/>
              <w:ind w:firstLine="482"/>
              <w:jc w:val="center"/>
              <w:rPr>
                <w:b/>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480"/>
              <w:jc w:val="center"/>
            </w:pPr>
            <w:bookmarkStart w:id="309" w:name="_Toc237970917"/>
            <w:r>
              <w:rPr>
                <w:rFonts w:hint="eastAsia"/>
              </w:rPr>
              <w:t>6</w:t>
            </w:r>
            <w:bookmarkEnd w:id="309"/>
          </w:p>
        </w:tc>
        <w:tc>
          <w:tcPr>
            <w:tcW w:w="2879" w:type="dxa"/>
            <w:tcBorders>
              <w:right w:val="single" w:color="auto" w:sz="4" w:space="0"/>
            </w:tcBorders>
            <w:vAlign w:val="center"/>
          </w:tcPr>
          <w:p>
            <w:pPr>
              <w:spacing w:line="360" w:lineRule="auto"/>
              <w:ind w:firstLine="482"/>
              <w:jc w:val="center"/>
              <w:rPr>
                <w:b/>
              </w:rPr>
            </w:pPr>
          </w:p>
        </w:tc>
        <w:tc>
          <w:tcPr>
            <w:tcW w:w="1675" w:type="dxa"/>
            <w:tcBorders>
              <w:left w:val="single" w:color="auto" w:sz="4" w:space="0"/>
            </w:tcBorders>
            <w:vAlign w:val="center"/>
          </w:tcPr>
          <w:p>
            <w:pPr>
              <w:spacing w:line="360" w:lineRule="auto"/>
              <w:ind w:firstLine="482"/>
              <w:jc w:val="center"/>
              <w:rPr>
                <w:b/>
              </w:rPr>
            </w:pPr>
          </w:p>
        </w:tc>
        <w:tc>
          <w:tcPr>
            <w:tcW w:w="875" w:type="dxa"/>
            <w:vAlign w:val="center"/>
          </w:tcPr>
          <w:p>
            <w:pPr>
              <w:spacing w:line="360" w:lineRule="auto"/>
              <w:ind w:firstLine="482"/>
              <w:jc w:val="center"/>
              <w:rPr>
                <w:b/>
              </w:rPr>
            </w:pPr>
          </w:p>
        </w:tc>
        <w:tc>
          <w:tcPr>
            <w:tcW w:w="1175" w:type="dxa"/>
            <w:vAlign w:val="center"/>
          </w:tcPr>
          <w:p>
            <w:pPr>
              <w:spacing w:line="360" w:lineRule="auto"/>
              <w:ind w:firstLine="482"/>
              <w:jc w:val="center"/>
              <w:rPr>
                <w:b/>
              </w:rPr>
            </w:pPr>
          </w:p>
        </w:tc>
        <w:tc>
          <w:tcPr>
            <w:tcW w:w="641" w:type="dxa"/>
            <w:vAlign w:val="center"/>
          </w:tcPr>
          <w:p>
            <w:pPr>
              <w:spacing w:line="360" w:lineRule="auto"/>
              <w:ind w:firstLine="482"/>
              <w:jc w:val="center"/>
              <w:rPr>
                <w:b/>
              </w:rPr>
            </w:pPr>
          </w:p>
        </w:tc>
        <w:tc>
          <w:tcPr>
            <w:tcW w:w="1025" w:type="dxa"/>
            <w:vAlign w:val="center"/>
          </w:tcPr>
          <w:p>
            <w:pPr>
              <w:spacing w:line="360" w:lineRule="auto"/>
              <w:ind w:firstLine="482"/>
              <w:jc w:val="center"/>
              <w:rPr>
                <w:b/>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480"/>
              <w:jc w:val="center"/>
            </w:pPr>
            <w:bookmarkStart w:id="310" w:name="_Toc237970918"/>
            <w:r>
              <w:rPr>
                <w:rFonts w:hint="eastAsia"/>
              </w:rPr>
              <w:t>7</w:t>
            </w:r>
            <w:bookmarkEnd w:id="310"/>
          </w:p>
        </w:tc>
        <w:tc>
          <w:tcPr>
            <w:tcW w:w="2879" w:type="dxa"/>
            <w:tcBorders>
              <w:right w:val="single" w:color="auto" w:sz="4" w:space="0"/>
            </w:tcBorders>
            <w:vAlign w:val="center"/>
          </w:tcPr>
          <w:p>
            <w:pPr>
              <w:spacing w:line="360" w:lineRule="auto"/>
              <w:ind w:firstLine="480"/>
              <w:jc w:val="center"/>
            </w:pPr>
          </w:p>
        </w:tc>
        <w:tc>
          <w:tcPr>
            <w:tcW w:w="1675" w:type="dxa"/>
            <w:tcBorders>
              <w:left w:val="single" w:color="auto" w:sz="4" w:space="0"/>
            </w:tcBorders>
            <w:vAlign w:val="center"/>
          </w:tcPr>
          <w:p>
            <w:pPr>
              <w:spacing w:line="360" w:lineRule="auto"/>
              <w:ind w:firstLine="480"/>
              <w:jc w:val="center"/>
            </w:pPr>
          </w:p>
        </w:tc>
        <w:tc>
          <w:tcPr>
            <w:tcW w:w="875" w:type="dxa"/>
            <w:vAlign w:val="center"/>
          </w:tcPr>
          <w:p>
            <w:pPr>
              <w:spacing w:line="360" w:lineRule="auto"/>
              <w:ind w:firstLine="482"/>
              <w:jc w:val="center"/>
              <w:rPr>
                <w:b/>
              </w:rPr>
            </w:pPr>
          </w:p>
        </w:tc>
        <w:tc>
          <w:tcPr>
            <w:tcW w:w="1175" w:type="dxa"/>
            <w:vAlign w:val="center"/>
          </w:tcPr>
          <w:p>
            <w:pPr>
              <w:spacing w:line="360" w:lineRule="auto"/>
              <w:ind w:firstLine="482"/>
              <w:jc w:val="center"/>
              <w:rPr>
                <w:b/>
              </w:rPr>
            </w:pPr>
          </w:p>
        </w:tc>
        <w:tc>
          <w:tcPr>
            <w:tcW w:w="641" w:type="dxa"/>
            <w:vAlign w:val="center"/>
          </w:tcPr>
          <w:p>
            <w:pPr>
              <w:spacing w:line="360" w:lineRule="auto"/>
              <w:ind w:firstLine="482"/>
              <w:jc w:val="center"/>
              <w:rPr>
                <w:b/>
              </w:rPr>
            </w:pPr>
          </w:p>
        </w:tc>
        <w:tc>
          <w:tcPr>
            <w:tcW w:w="1025" w:type="dxa"/>
            <w:vAlign w:val="center"/>
          </w:tcPr>
          <w:p>
            <w:pPr>
              <w:spacing w:line="360" w:lineRule="auto"/>
              <w:ind w:firstLine="482"/>
              <w:jc w:val="center"/>
              <w:rPr>
                <w:b/>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480"/>
              <w:jc w:val="center"/>
            </w:pPr>
            <w:bookmarkStart w:id="311" w:name="_Toc237970919"/>
            <w:r>
              <w:rPr>
                <w:rFonts w:hint="eastAsia"/>
              </w:rPr>
              <w:t>8</w:t>
            </w:r>
            <w:bookmarkEnd w:id="311"/>
          </w:p>
        </w:tc>
        <w:tc>
          <w:tcPr>
            <w:tcW w:w="2879" w:type="dxa"/>
            <w:tcBorders>
              <w:right w:val="single" w:color="auto" w:sz="4" w:space="0"/>
            </w:tcBorders>
            <w:vAlign w:val="center"/>
          </w:tcPr>
          <w:p>
            <w:pPr>
              <w:spacing w:line="360" w:lineRule="auto"/>
              <w:ind w:firstLine="482"/>
              <w:jc w:val="center"/>
              <w:rPr>
                <w:b/>
              </w:rPr>
            </w:pPr>
          </w:p>
        </w:tc>
        <w:tc>
          <w:tcPr>
            <w:tcW w:w="1675" w:type="dxa"/>
            <w:tcBorders>
              <w:left w:val="single" w:color="auto" w:sz="4" w:space="0"/>
            </w:tcBorders>
            <w:vAlign w:val="center"/>
          </w:tcPr>
          <w:p>
            <w:pPr>
              <w:spacing w:line="360" w:lineRule="auto"/>
              <w:ind w:firstLine="482"/>
              <w:jc w:val="center"/>
              <w:rPr>
                <w:b/>
              </w:rPr>
            </w:pPr>
          </w:p>
        </w:tc>
        <w:tc>
          <w:tcPr>
            <w:tcW w:w="875" w:type="dxa"/>
            <w:vAlign w:val="center"/>
          </w:tcPr>
          <w:p>
            <w:pPr>
              <w:spacing w:line="360" w:lineRule="auto"/>
              <w:ind w:firstLine="482"/>
              <w:jc w:val="center"/>
              <w:rPr>
                <w:b/>
              </w:rPr>
            </w:pPr>
          </w:p>
        </w:tc>
        <w:tc>
          <w:tcPr>
            <w:tcW w:w="1175" w:type="dxa"/>
            <w:vAlign w:val="center"/>
          </w:tcPr>
          <w:p>
            <w:pPr>
              <w:spacing w:line="360" w:lineRule="auto"/>
              <w:ind w:firstLine="482"/>
              <w:jc w:val="center"/>
              <w:rPr>
                <w:b/>
              </w:rPr>
            </w:pPr>
          </w:p>
        </w:tc>
        <w:tc>
          <w:tcPr>
            <w:tcW w:w="641" w:type="dxa"/>
            <w:vAlign w:val="center"/>
          </w:tcPr>
          <w:p>
            <w:pPr>
              <w:spacing w:line="360" w:lineRule="auto"/>
              <w:ind w:firstLine="482"/>
              <w:jc w:val="center"/>
              <w:rPr>
                <w:b/>
              </w:rPr>
            </w:pPr>
          </w:p>
        </w:tc>
        <w:tc>
          <w:tcPr>
            <w:tcW w:w="1025" w:type="dxa"/>
            <w:vAlign w:val="center"/>
          </w:tcPr>
          <w:p>
            <w:pPr>
              <w:spacing w:line="360" w:lineRule="auto"/>
              <w:ind w:firstLine="482"/>
              <w:jc w:val="center"/>
              <w:rPr>
                <w:b/>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738" w:type="dxa"/>
            <w:vAlign w:val="center"/>
          </w:tcPr>
          <w:p>
            <w:pPr>
              <w:spacing w:line="360" w:lineRule="auto"/>
              <w:ind w:firstLine="480"/>
              <w:jc w:val="center"/>
            </w:pPr>
          </w:p>
        </w:tc>
        <w:tc>
          <w:tcPr>
            <w:tcW w:w="2879" w:type="dxa"/>
            <w:tcBorders>
              <w:right w:val="single" w:color="auto" w:sz="4" w:space="0"/>
            </w:tcBorders>
            <w:vAlign w:val="center"/>
          </w:tcPr>
          <w:p>
            <w:pPr>
              <w:spacing w:line="360" w:lineRule="auto"/>
              <w:ind w:firstLine="0" w:firstLineChars="0"/>
              <w:jc w:val="center"/>
            </w:pPr>
            <w:bookmarkStart w:id="312" w:name="_Toc237970920"/>
            <w:r>
              <w:rPr>
                <w:rFonts w:hint="eastAsia"/>
              </w:rPr>
              <w:t>投标总价</w:t>
            </w:r>
            <w:bookmarkEnd w:id="312"/>
          </w:p>
        </w:tc>
        <w:tc>
          <w:tcPr>
            <w:tcW w:w="1675" w:type="dxa"/>
            <w:tcBorders>
              <w:left w:val="single" w:color="auto" w:sz="4" w:space="0"/>
            </w:tcBorders>
            <w:vAlign w:val="center"/>
          </w:tcPr>
          <w:p>
            <w:pPr>
              <w:spacing w:line="360" w:lineRule="auto"/>
              <w:ind w:firstLine="480"/>
              <w:jc w:val="center"/>
            </w:pPr>
          </w:p>
        </w:tc>
        <w:tc>
          <w:tcPr>
            <w:tcW w:w="875" w:type="dxa"/>
            <w:vAlign w:val="center"/>
          </w:tcPr>
          <w:p>
            <w:pPr>
              <w:spacing w:line="360" w:lineRule="auto"/>
              <w:ind w:firstLine="482"/>
              <w:jc w:val="center"/>
              <w:rPr>
                <w:b/>
              </w:rPr>
            </w:pPr>
          </w:p>
        </w:tc>
        <w:tc>
          <w:tcPr>
            <w:tcW w:w="1175" w:type="dxa"/>
            <w:vAlign w:val="center"/>
          </w:tcPr>
          <w:p>
            <w:pPr>
              <w:spacing w:line="360" w:lineRule="auto"/>
              <w:ind w:firstLine="482"/>
              <w:jc w:val="center"/>
              <w:rPr>
                <w:b/>
              </w:rPr>
            </w:pPr>
          </w:p>
        </w:tc>
        <w:tc>
          <w:tcPr>
            <w:tcW w:w="641" w:type="dxa"/>
            <w:vAlign w:val="center"/>
          </w:tcPr>
          <w:p>
            <w:pPr>
              <w:spacing w:line="360" w:lineRule="auto"/>
              <w:ind w:firstLine="482"/>
              <w:jc w:val="center"/>
              <w:rPr>
                <w:b/>
              </w:rPr>
            </w:pPr>
          </w:p>
        </w:tc>
        <w:tc>
          <w:tcPr>
            <w:tcW w:w="1025" w:type="dxa"/>
            <w:vAlign w:val="center"/>
          </w:tcPr>
          <w:p>
            <w:pPr>
              <w:spacing w:line="360" w:lineRule="auto"/>
              <w:ind w:firstLine="482"/>
              <w:jc w:val="center"/>
              <w:rPr>
                <w:b/>
              </w:rPr>
            </w:pPr>
          </w:p>
        </w:tc>
      </w:tr>
    </w:tbl>
    <w:p>
      <w:pPr>
        <w:spacing w:line="360" w:lineRule="auto"/>
        <w:ind w:firstLine="480"/>
      </w:pPr>
    </w:p>
    <w:p>
      <w:pPr>
        <w:spacing w:line="360" w:lineRule="auto"/>
        <w:ind w:firstLine="480"/>
      </w:pPr>
      <w:bookmarkStart w:id="313" w:name="_Toc237970921"/>
      <w:r>
        <w:rPr>
          <w:rFonts w:hint="eastAsia"/>
        </w:rPr>
        <w:t>投标人代表签名：</w:t>
      </w:r>
      <w:r>
        <w:t xml:space="preserve">                        </w:t>
      </w:r>
      <w:r>
        <w:rPr>
          <w:rFonts w:hint="eastAsia"/>
        </w:rPr>
        <w:t xml:space="preserve">     日期：</w:t>
      </w:r>
      <w:bookmarkEnd w:id="313"/>
      <w:r>
        <w:rPr>
          <w:rFonts w:hint="eastAsia"/>
        </w:rPr>
        <w:t xml:space="preserve"> </w:t>
      </w:r>
    </w:p>
    <w:p>
      <w:pPr>
        <w:spacing w:line="360" w:lineRule="auto"/>
        <w:ind w:firstLine="480"/>
      </w:pPr>
    </w:p>
    <w:p>
      <w:pPr>
        <w:pStyle w:val="3"/>
        <w:spacing w:line="360" w:lineRule="auto"/>
        <w:ind w:firstLine="482"/>
        <w:rPr>
          <w:b/>
          <w:color w:val="000000"/>
        </w:rPr>
      </w:pPr>
      <w:bookmarkStart w:id="314" w:name="_Toc125217153"/>
      <w:bookmarkStart w:id="315" w:name="_Toc125855794"/>
      <w:bookmarkStart w:id="316" w:name="_Toc523210796"/>
      <w:bookmarkStart w:id="317" w:name="_Toc523214659"/>
      <w:r>
        <w:rPr>
          <w:rFonts w:hint="eastAsia"/>
          <w:b/>
          <w:color w:val="000000"/>
        </w:rPr>
        <w:t>附件</w:t>
      </w:r>
      <w:r>
        <w:rPr>
          <w:b/>
          <w:color w:val="000000"/>
        </w:rPr>
        <w:t>4</w:t>
      </w:r>
      <w:r>
        <w:rPr>
          <w:rFonts w:hint="eastAsia"/>
          <w:b/>
          <w:color w:val="000000"/>
        </w:rPr>
        <w:t xml:space="preserve"> 产品简要说明一览表</w:t>
      </w:r>
      <w:bookmarkEnd w:id="314"/>
      <w:bookmarkEnd w:id="315"/>
      <w:bookmarkEnd w:id="316"/>
      <w:bookmarkEnd w:id="317"/>
    </w:p>
    <w:p>
      <w:pPr>
        <w:spacing w:line="360" w:lineRule="auto"/>
        <w:ind w:firstLine="480"/>
      </w:pPr>
      <w:bookmarkStart w:id="318" w:name="_Toc237970923"/>
      <w:r>
        <w:rPr>
          <w:rFonts w:hint="eastAsia"/>
        </w:rPr>
        <w:t>投标人名称：                         产品名称：</w:t>
      </w:r>
      <w:bookmarkEnd w:id="318"/>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95"/>
        <w:gridCol w:w="1575"/>
        <w:gridCol w:w="3675"/>
        <w:gridCol w:w="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0" w:firstLineChars="0"/>
              <w:jc w:val="center"/>
            </w:pPr>
            <w:bookmarkStart w:id="319" w:name="_Toc237970924"/>
            <w:r>
              <w:rPr>
                <w:rFonts w:hint="eastAsia"/>
              </w:rPr>
              <w:t>序号</w:t>
            </w:r>
            <w:bookmarkEnd w:id="319"/>
          </w:p>
        </w:tc>
        <w:tc>
          <w:tcPr>
            <w:tcW w:w="1695" w:type="dxa"/>
            <w:vAlign w:val="center"/>
          </w:tcPr>
          <w:p>
            <w:pPr>
              <w:spacing w:line="360" w:lineRule="auto"/>
              <w:ind w:firstLine="0" w:firstLineChars="0"/>
              <w:jc w:val="center"/>
            </w:pPr>
            <w:bookmarkStart w:id="320" w:name="_Toc237970925"/>
            <w:r>
              <w:rPr>
                <w:rFonts w:hint="eastAsia"/>
              </w:rPr>
              <w:t>主要功能模块</w:t>
            </w:r>
            <w:bookmarkEnd w:id="320"/>
          </w:p>
        </w:tc>
        <w:tc>
          <w:tcPr>
            <w:tcW w:w="1575" w:type="dxa"/>
            <w:vAlign w:val="center"/>
          </w:tcPr>
          <w:p>
            <w:pPr>
              <w:spacing w:line="360" w:lineRule="auto"/>
              <w:ind w:firstLine="0" w:firstLineChars="0"/>
              <w:jc w:val="center"/>
            </w:pPr>
            <w:bookmarkStart w:id="321" w:name="_Toc237970926"/>
            <w:r>
              <w:rPr>
                <w:rFonts w:hint="eastAsia"/>
              </w:rPr>
              <w:t>功能清单</w:t>
            </w:r>
            <w:bookmarkEnd w:id="321"/>
          </w:p>
        </w:tc>
        <w:tc>
          <w:tcPr>
            <w:tcW w:w="3675" w:type="dxa"/>
            <w:vAlign w:val="center"/>
          </w:tcPr>
          <w:p>
            <w:pPr>
              <w:spacing w:line="360" w:lineRule="auto"/>
              <w:ind w:firstLine="0" w:firstLineChars="0"/>
              <w:jc w:val="center"/>
            </w:pPr>
            <w:bookmarkStart w:id="322" w:name="_Toc237970927"/>
            <w:r>
              <w:rPr>
                <w:rFonts w:hint="eastAsia"/>
              </w:rPr>
              <w:t>功能、性能简要说明</w:t>
            </w:r>
            <w:bookmarkEnd w:id="322"/>
          </w:p>
        </w:tc>
        <w:tc>
          <w:tcPr>
            <w:tcW w:w="896" w:type="dxa"/>
            <w:vAlign w:val="center"/>
          </w:tcPr>
          <w:p>
            <w:pPr>
              <w:spacing w:line="360" w:lineRule="auto"/>
              <w:ind w:firstLine="0" w:firstLineChars="0"/>
              <w:jc w:val="center"/>
            </w:pPr>
            <w:bookmarkStart w:id="323" w:name="_Toc237970928"/>
            <w:r>
              <w:rPr>
                <w:rFonts w:hint="eastAsia"/>
              </w:rPr>
              <w:t>备注</w:t>
            </w:r>
            <w:bookmarkEnd w:id="3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Align w:val="center"/>
          </w:tcPr>
          <w:p>
            <w:pPr>
              <w:spacing w:line="360" w:lineRule="auto"/>
              <w:ind w:firstLine="480"/>
              <w:jc w:val="center"/>
            </w:pPr>
          </w:p>
        </w:tc>
        <w:tc>
          <w:tcPr>
            <w:tcW w:w="1695" w:type="dxa"/>
            <w:vAlign w:val="center"/>
          </w:tcPr>
          <w:p>
            <w:pPr>
              <w:spacing w:line="360" w:lineRule="auto"/>
              <w:ind w:firstLine="480"/>
              <w:jc w:val="center"/>
            </w:pPr>
          </w:p>
        </w:tc>
        <w:tc>
          <w:tcPr>
            <w:tcW w:w="1575" w:type="dxa"/>
            <w:vAlign w:val="center"/>
          </w:tcPr>
          <w:p>
            <w:pPr>
              <w:spacing w:line="360" w:lineRule="auto"/>
              <w:ind w:firstLine="480"/>
              <w:jc w:val="center"/>
            </w:pPr>
          </w:p>
        </w:tc>
        <w:tc>
          <w:tcPr>
            <w:tcW w:w="3675" w:type="dxa"/>
            <w:vAlign w:val="center"/>
          </w:tcPr>
          <w:p>
            <w:pPr>
              <w:spacing w:line="360" w:lineRule="auto"/>
              <w:ind w:firstLine="480"/>
              <w:jc w:val="center"/>
            </w:pPr>
          </w:p>
        </w:tc>
        <w:tc>
          <w:tcPr>
            <w:tcW w:w="896" w:type="dxa"/>
            <w:vAlign w:val="center"/>
          </w:tcPr>
          <w:p>
            <w:pPr>
              <w:spacing w:line="360" w:lineRule="auto"/>
              <w:ind w:firstLine="480"/>
              <w:jc w:val="center"/>
            </w:pPr>
          </w:p>
        </w:tc>
      </w:tr>
    </w:tbl>
    <w:p>
      <w:pPr>
        <w:spacing w:line="360" w:lineRule="auto"/>
        <w:ind w:firstLine="480"/>
      </w:pPr>
    </w:p>
    <w:p>
      <w:pPr>
        <w:spacing w:line="360" w:lineRule="auto"/>
        <w:ind w:firstLine="480"/>
      </w:pPr>
      <w:bookmarkStart w:id="324" w:name="_Toc237970929"/>
      <w:r>
        <w:rPr>
          <w:rFonts w:hint="eastAsia"/>
        </w:rPr>
        <w:t>投标人代表签字：</w:t>
      </w:r>
      <w:r>
        <w:t xml:space="preserve">                       </w:t>
      </w:r>
      <w:r>
        <w:rPr>
          <w:rFonts w:hint="eastAsia"/>
        </w:rPr>
        <w:t xml:space="preserve">       日期：</w:t>
      </w:r>
      <w:bookmarkEnd w:id="324"/>
    </w:p>
    <w:p>
      <w:pPr>
        <w:pStyle w:val="5"/>
        <w:spacing w:line="360" w:lineRule="auto"/>
        <w:ind w:firstLine="480"/>
      </w:pPr>
    </w:p>
    <w:p>
      <w:pPr>
        <w:pStyle w:val="3"/>
        <w:spacing w:line="360" w:lineRule="auto"/>
        <w:ind w:firstLine="482"/>
        <w:rPr>
          <w:b/>
          <w:color w:val="000000"/>
        </w:rPr>
      </w:pPr>
      <w:bookmarkStart w:id="325" w:name="_Toc523214660"/>
      <w:bookmarkStart w:id="326" w:name="_Toc125855795"/>
      <w:bookmarkStart w:id="327" w:name="_Toc125217154"/>
      <w:bookmarkStart w:id="328" w:name="_Toc523210797"/>
      <w:r>
        <w:rPr>
          <w:rFonts w:hint="eastAsia"/>
          <w:b/>
          <w:color w:val="000000"/>
        </w:rPr>
        <w:t>附件5 投标人提供产品的资格证明文件</w:t>
      </w:r>
      <w:bookmarkEnd w:id="325"/>
      <w:bookmarkEnd w:id="326"/>
      <w:bookmarkEnd w:id="327"/>
      <w:bookmarkEnd w:id="328"/>
    </w:p>
    <w:p>
      <w:pPr>
        <w:widowControl/>
        <w:autoSpaceDE w:val="0"/>
        <w:autoSpaceDN w:val="0"/>
        <w:spacing w:after="120" w:line="360" w:lineRule="auto"/>
        <w:ind w:left="425" w:firstLine="482"/>
        <w:jc w:val="center"/>
        <w:textAlignment w:val="bottom"/>
        <w:rPr>
          <w:b/>
          <w:color w:val="000000"/>
        </w:rPr>
      </w:pPr>
      <w:r>
        <w:rPr>
          <w:rFonts w:hint="eastAsia"/>
          <w:b/>
          <w:color w:val="000000"/>
        </w:rPr>
        <w:t>须</w:t>
      </w:r>
      <w:r>
        <w:rPr>
          <w:b/>
          <w:color w:val="000000"/>
        </w:rPr>
        <w:t xml:space="preserve">    </w:t>
      </w:r>
      <w:r>
        <w:rPr>
          <w:rFonts w:hint="eastAsia"/>
          <w:b/>
          <w:color w:val="000000"/>
        </w:rPr>
        <w:t>知</w:t>
      </w:r>
    </w:p>
    <w:p>
      <w:pPr>
        <w:widowControl/>
        <w:numPr>
          <w:ilvl w:val="0"/>
          <w:numId w:val="29"/>
        </w:numPr>
        <w:autoSpaceDE w:val="0"/>
        <w:autoSpaceDN w:val="0"/>
        <w:spacing w:after="120" w:line="360" w:lineRule="auto"/>
        <w:ind w:firstLine="480"/>
        <w:textAlignment w:val="bottom"/>
        <w:rPr>
          <w:color w:val="000000"/>
        </w:rPr>
      </w:pPr>
      <w:r>
        <w:rPr>
          <w:rFonts w:hint="eastAsia"/>
          <w:color w:val="000000"/>
        </w:rPr>
        <w:t>对所附表格中要求的资料和询问应做出肯定的问答。</w:t>
      </w:r>
    </w:p>
    <w:p>
      <w:pPr>
        <w:widowControl/>
        <w:numPr>
          <w:ilvl w:val="0"/>
          <w:numId w:val="29"/>
        </w:numPr>
        <w:autoSpaceDE w:val="0"/>
        <w:autoSpaceDN w:val="0"/>
        <w:spacing w:after="120" w:line="360" w:lineRule="auto"/>
        <w:ind w:firstLine="480"/>
        <w:textAlignment w:val="bottom"/>
        <w:rPr>
          <w:color w:val="000000"/>
        </w:rPr>
      </w:pPr>
      <w:r>
        <w:rPr>
          <w:rFonts w:hint="eastAsia"/>
          <w:color w:val="000000"/>
        </w:rPr>
        <w:t>资格文件的签字人应保证他所做的声明及对一切问题的回答的真实性和准确性。</w:t>
      </w:r>
    </w:p>
    <w:p>
      <w:pPr>
        <w:widowControl/>
        <w:numPr>
          <w:ilvl w:val="0"/>
          <w:numId w:val="29"/>
        </w:numPr>
        <w:autoSpaceDE w:val="0"/>
        <w:autoSpaceDN w:val="0"/>
        <w:spacing w:after="120" w:line="360" w:lineRule="auto"/>
        <w:ind w:firstLine="480"/>
        <w:textAlignment w:val="bottom"/>
        <w:rPr>
          <w:color w:val="000000"/>
        </w:rPr>
      </w:pPr>
      <w:r>
        <w:rPr>
          <w:rFonts w:hint="eastAsia"/>
          <w:color w:val="000000"/>
        </w:rPr>
        <w:t>投标人提供的资格文件将由邀标人及邀标人使用，并据此进行评价和判断，确定投标方的资格和履约能力。</w:t>
      </w:r>
    </w:p>
    <w:p>
      <w:pPr>
        <w:widowControl/>
        <w:numPr>
          <w:ilvl w:val="0"/>
          <w:numId w:val="29"/>
        </w:numPr>
        <w:autoSpaceDE w:val="0"/>
        <w:autoSpaceDN w:val="0"/>
        <w:spacing w:after="120" w:line="360" w:lineRule="auto"/>
        <w:ind w:firstLine="480"/>
        <w:textAlignment w:val="bottom"/>
        <w:rPr>
          <w:color w:val="000000"/>
        </w:rPr>
      </w:pPr>
      <w:r>
        <w:rPr>
          <w:rFonts w:hint="eastAsia"/>
          <w:color w:val="000000"/>
        </w:rPr>
        <w:t>投标人提交的文件将给予保密，但不退还。</w:t>
      </w:r>
    </w:p>
    <w:p>
      <w:pPr>
        <w:widowControl/>
        <w:numPr>
          <w:ilvl w:val="0"/>
          <w:numId w:val="29"/>
        </w:numPr>
        <w:autoSpaceDE w:val="0"/>
        <w:autoSpaceDN w:val="0"/>
        <w:spacing w:after="120" w:line="360" w:lineRule="auto"/>
        <w:ind w:firstLine="480"/>
        <w:textAlignment w:val="bottom"/>
        <w:rPr>
          <w:color w:val="000000"/>
        </w:rPr>
      </w:pPr>
      <w:r>
        <w:rPr>
          <w:rFonts w:hint="eastAsia"/>
          <w:color w:val="000000"/>
        </w:rPr>
        <w:t>全部文件应以中文书写，</w:t>
      </w:r>
      <w:r>
        <w:rPr>
          <w:rFonts w:hint="eastAsia"/>
        </w:rPr>
        <w:t>正本一份，副本一份</w:t>
      </w:r>
      <w:r>
        <w:rPr>
          <w:rFonts w:hint="eastAsia"/>
          <w:color w:val="000000"/>
        </w:rPr>
        <w:t>，按投标人须知规定封装。</w:t>
      </w:r>
    </w:p>
    <w:p>
      <w:pPr>
        <w:widowControl/>
        <w:autoSpaceDE w:val="0"/>
        <w:autoSpaceDN w:val="0"/>
        <w:spacing w:after="120" w:line="360" w:lineRule="auto"/>
        <w:ind w:firstLine="480"/>
        <w:textAlignment w:val="bottom"/>
        <w:rPr>
          <w:color w:val="000000"/>
        </w:rPr>
      </w:pPr>
    </w:p>
    <w:p>
      <w:pPr>
        <w:widowControl/>
        <w:autoSpaceDE w:val="0"/>
        <w:autoSpaceDN w:val="0"/>
        <w:spacing w:after="120" w:line="360" w:lineRule="auto"/>
        <w:ind w:firstLine="482"/>
        <w:textAlignment w:val="bottom"/>
        <w:rPr>
          <w:b/>
          <w:color w:val="000000"/>
        </w:rPr>
      </w:pPr>
    </w:p>
    <w:p>
      <w:pPr>
        <w:pStyle w:val="3"/>
        <w:spacing w:line="360" w:lineRule="auto"/>
        <w:ind w:firstLine="482"/>
        <w:rPr>
          <w:b/>
        </w:rPr>
      </w:pPr>
      <w:bookmarkStart w:id="329" w:name="_Toc302050339"/>
      <w:bookmarkStart w:id="330" w:name="_Toc523210798"/>
      <w:bookmarkStart w:id="331" w:name="_Toc523214661"/>
      <w:r>
        <w:rPr>
          <w:rFonts w:hint="eastAsia"/>
          <w:b/>
        </w:rPr>
        <w:t>附件6 系统实施商的资格声明</w:t>
      </w:r>
      <w:bookmarkEnd w:id="329"/>
      <w:bookmarkEnd w:id="330"/>
      <w:bookmarkEnd w:id="331"/>
    </w:p>
    <w:p>
      <w:pPr>
        <w:widowControl/>
        <w:autoSpaceDE w:val="0"/>
        <w:autoSpaceDN w:val="0"/>
        <w:spacing w:after="120" w:line="360" w:lineRule="auto"/>
        <w:ind w:left="420" w:right="240" w:firstLine="0" w:firstLineChars="0"/>
        <w:textAlignment w:val="bottom"/>
        <w:rPr>
          <w:b/>
          <w:color w:val="000000"/>
        </w:rPr>
      </w:pPr>
    </w:p>
    <w:p>
      <w:pPr>
        <w:pStyle w:val="3"/>
        <w:spacing w:line="360" w:lineRule="auto"/>
        <w:ind w:firstLine="482"/>
        <w:rPr>
          <w:b/>
        </w:rPr>
      </w:pPr>
      <w:bookmarkStart w:id="332" w:name="_Toc302050340"/>
      <w:bookmarkStart w:id="333" w:name="_Toc523210799"/>
      <w:bookmarkStart w:id="334" w:name="_Toc523214662"/>
      <w:r>
        <w:rPr>
          <w:rFonts w:hint="eastAsia"/>
          <w:b/>
        </w:rPr>
        <w:t>附件7 系统功能需求对应表</w:t>
      </w:r>
      <w:bookmarkEnd w:id="332"/>
      <w:bookmarkEnd w:id="333"/>
      <w:bookmarkEnd w:id="334"/>
    </w:p>
    <w:p>
      <w:pPr>
        <w:spacing w:line="360" w:lineRule="auto"/>
        <w:ind w:firstLine="480"/>
      </w:pPr>
    </w:p>
    <w:p>
      <w:pPr>
        <w:spacing w:after="156" w:afterLines="50" w:line="360" w:lineRule="auto"/>
        <w:ind w:right="420" w:firstLine="480"/>
        <w:jc w:val="center"/>
        <w:rPr>
          <w:rFonts w:ascii="宋体" w:hAnsi="宋体" w:cs="Arial"/>
          <w:color w:val="000000"/>
        </w:rPr>
      </w:pPr>
      <w:r>
        <w:rPr>
          <w:rFonts w:hint="eastAsia" w:ascii="宋体" w:hAnsi="宋体" w:cs="Arial"/>
          <w:color w:val="000000"/>
          <w:szCs w:val="21"/>
        </w:rPr>
        <w:t xml:space="preserve">                            </w:t>
      </w:r>
      <w:r>
        <w:rPr>
          <w:rFonts w:hint="eastAsia" w:ascii="宋体" w:hAnsi="宋体" w:cs="Arial"/>
          <w:color w:val="000000"/>
        </w:rPr>
        <w:t xml:space="preserve"> </w:t>
      </w:r>
    </w:p>
    <w:p>
      <w:pPr>
        <w:spacing w:line="360" w:lineRule="auto"/>
        <w:ind w:firstLine="480"/>
      </w:pPr>
    </w:p>
    <w:p>
      <w:pPr>
        <w:snapToGrid w:val="0"/>
        <w:spacing w:before="62" w:beforeLines="20" w:line="360" w:lineRule="auto"/>
        <w:ind w:firstLine="560"/>
        <w:jc w:val="center"/>
        <w:rPr>
          <w:rFonts w:ascii="宋体" w:hAnsi="宋体"/>
          <w:sz w:val="28"/>
          <w:szCs w:val="28"/>
        </w:rPr>
      </w:pPr>
    </w:p>
    <w:p>
      <w:pPr>
        <w:spacing w:line="360" w:lineRule="auto"/>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仿宋">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3E4F41"/>
    <w:multiLevelType w:val="multilevel"/>
    <w:tmpl w:val="053E4F4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A540A"/>
    <w:multiLevelType w:val="multilevel"/>
    <w:tmpl w:val="060A540A"/>
    <w:lvl w:ilvl="0" w:tentative="0">
      <w:start w:val="2"/>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B244B6"/>
    <w:multiLevelType w:val="multilevel"/>
    <w:tmpl w:val="08B244B6"/>
    <w:lvl w:ilvl="0" w:tentative="0">
      <w:start w:val="1"/>
      <w:numFmt w:val="decimal"/>
      <w:lvlText w:val="%1、"/>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86E710B"/>
    <w:multiLevelType w:val="multilevel"/>
    <w:tmpl w:val="186E71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CA77B8B"/>
    <w:multiLevelType w:val="multilevel"/>
    <w:tmpl w:val="1CA77B8B"/>
    <w:lvl w:ilvl="0" w:tentative="0">
      <w:start w:val="1"/>
      <w:numFmt w:val="decimal"/>
      <w:pStyle w:val="17"/>
      <w:lvlText w:val="%1、"/>
      <w:lvlJc w:val="left"/>
      <w:pPr>
        <w:tabs>
          <w:tab w:val="left" w:pos="1247"/>
        </w:tabs>
        <w:ind w:left="0" w:firstLine="527"/>
      </w:pPr>
      <w:rPr>
        <w:rFonts w:hint="eastAsia"/>
        <w:color w:val="auto"/>
      </w:rPr>
    </w:lvl>
    <w:lvl w:ilvl="1" w:tentative="0">
      <w:start w:val="1"/>
      <w:numFmt w:val="decimal"/>
      <w:lvlText w:val="%2、"/>
      <w:lvlJc w:val="left"/>
      <w:pPr>
        <w:tabs>
          <w:tab w:val="left" w:pos="1560"/>
        </w:tabs>
        <w:ind w:left="1560" w:hanging="720"/>
      </w:pPr>
      <w:rPr>
        <w:rFonts w:hint="default"/>
      </w:rPr>
    </w:lvl>
    <w:lvl w:ilvl="2" w:tentative="0">
      <w:start w:val="1"/>
      <w:numFmt w:val="decimal"/>
      <w:lvlText w:val="（%3）"/>
      <w:lvlJc w:val="left"/>
      <w:pPr>
        <w:tabs>
          <w:tab w:val="left" w:pos="1980"/>
        </w:tabs>
        <w:ind w:left="1980" w:hanging="720"/>
      </w:pPr>
      <w:rPr>
        <w:rFonts w:hint="eastAsia"/>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237A446C"/>
    <w:multiLevelType w:val="multilevel"/>
    <w:tmpl w:val="237A446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FE0D87"/>
    <w:multiLevelType w:val="multilevel"/>
    <w:tmpl w:val="23FE0D87"/>
    <w:lvl w:ilvl="0" w:tentative="0">
      <w:start w:val="1"/>
      <w:numFmt w:val="decimal"/>
      <w:lvlText w:val="%1."/>
      <w:lvlJc w:val="left"/>
      <w:pPr>
        <w:tabs>
          <w:tab w:val="left" w:pos="420"/>
        </w:tabs>
        <w:ind w:left="42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427C5F"/>
    <w:multiLevelType w:val="singleLevel"/>
    <w:tmpl w:val="25427C5F"/>
    <w:lvl w:ilvl="0" w:tentative="0">
      <w:start w:val="1"/>
      <w:numFmt w:val="decimal"/>
      <w:lvlText w:val="（%1）"/>
      <w:legacy w:legacy="1" w:legacySpace="0" w:legacyIndent="720"/>
      <w:lvlJc w:val="left"/>
      <w:pPr>
        <w:ind w:left="1200" w:hanging="720"/>
      </w:pPr>
      <w:rPr>
        <w:rFonts w:hint="default" w:ascii="Times New Roman" w:hAnsi="Times New Roman"/>
        <w:b w:val="0"/>
        <w:i w:val="0"/>
        <w:sz w:val="24"/>
        <w:u w:val="none"/>
      </w:rPr>
    </w:lvl>
  </w:abstractNum>
  <w:abstractNum w:abstractNumId="9">
    <w:nsid w:val="27EE0AD7"/>
    <w:multiLevelType w:val="multilevel"/>
    <w:tmpl w:val="27EE0AD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7B27049"/>
    <w:multiLevelType w:val="multilevel"/>
    <w:tmpl w:val="37B27049"/>
    <w:lvl w:ilvl="0" w:tentative="0">
      <w:start w:val="1"/>
      <w:numFmt w:val="decimal"/>
      <w:lvlText w:val="%1、"/>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8EC7D29"/>
    <w:multiLevelType w:val="multilevel"/>
    <w:tmpl w:val="38EC7D29"/>
    <w:lvl w:ilvl="0" w:tentative="0">
      <w:start w:val="1"/>
      <w:numFmt w:val="japaneseCounting"/>
      <w:lvlText w:val="%1、"/>
      <w:lvlJc w:val="left"/>
      <w:pPr>
        <w:ind w:left="678" w:hanging="480"/>
      </w:pPr>
      <w:rPr>
        <w:rFonts w:hint="default"/>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abstractNum w:abstractNumId="12">
    <w:nsid w:val="393D1E7C"/>
    <w:multiLevelType w:val="multilevel"/>
    <w:tmpl w:val="393D1E7C"/>
    <w:lvl w:ilvl="0" w:tentative="0">
      <w:start w:val="1"/>
      <w:numFmt w:val="decimal"/>
      <w:lvlText w:val="%1、"/>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A267405"/>
    <w:multiLevelType w:val="multilevel"/>
    <w:tmpl w:val="3A267405"/>
    <w:lvl w:ilvl="0" w:tentative="0">
      <w:start w:val="1"/>
      <w:numFmt w:val="decimal"/>
      <w:lvlText w:val="%1、"/>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3EA50443"/>
    <w:multiLevelType w:val="multilevel"/>
    <w:tmpl w:val="3EA50443"/>
    <w:lvl w:ilvl="0" w:tentative="0">
      <w:start w:val="1"/>
      <w:numFmt w:val="decimal"/>
      <w:lvlText w:val="%1、"/>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3112652"/>
    <w:multiLevelType w:val="multilevel"/>
    <w:tmpl w:val="43112652"/>
    <w:lvl w:ilvl="0" w:tentative="0">
      <w:start w:val="1"/>
      <w:numFmt w:val="decimal"/>
      <w:lvlText w:val="%1."/>
      <w:lvlJc w:val="left"/>
      <w:pPr>
        <w:tabs>
          <w:tab w:val="left" w:pos="420"/>
        </w:tabs>
        <w:ind w:left="420" w:hanging="42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78163B5"/>
    <w:multiLevelType w:val="multilevel"/>
    <w:tmpl w:val="478163B5"/>
    <w:lvl w:ilvl="0" w:tentative="0">
      <w:start w:val="1"/>
      <w:numFmt w:val="decimal"/>
      <w:lvlText w:val="%1、"/>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52071082"/>
    <w:multiLevelType w:val="multilevel"/>
    <w:tmpl w:val="5207108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
    <w:nsid w:val="5535144F"/>
    <w:multiLevelType w:val="multilevel"/>
    <w:tmpl w:val="5535144F"/>
    <w:lvl w:ilvl="0" w:tentative="0">
      <w:start w:val="1"/>
      <w:numFmt w:val="decimal"/>
      <w:lvlText w:val="(%1) "/>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57176046"/>
    <w:multiLevelType w:val="singleLevel"/>
    <w:tmpl w:val="57176046"/>
    <w:lvl w:ilvl="0" w:tentative="0">
      <w:start w:val="1"/>
      <w:numFmt w:val="decimal"/>
      <w:lvlText w:val="%1、"/>
      <w:legacy w:legacy="1" w:legacySpace="0" w:legacyIndent="405"/>
      <w:lvlJc w:val="left"/>
      <w:pPr>
        <w:ind w:left="885" w:hanging="405"/>
      </w:pPr>
      <w:rPr>
        <w:rFonts w:ascii="Times New Roman" w:hAnsi="Times New Roman" w:eastAsia="宋体" w:cs="Times New Roman"/>
        <w:b w:val="0"/>
        <w:i w:val="0"/>
        <w:sz w:val="24"/>
        <w:u w:val="none"/>
      </w:rPr>
    </w:lvl>
  </w:abstractNum>
  <w:abstractNum w:abstractNumId="20">
    <w:nsid w:val="5AEB20A2"/>
    <w:multiLevelType w:val="multilevel"/>
    <w:tmpl w:val="5AEB20A2"/>
    <w:lvl w:ilvl="0" w:tentative="0">
      <w:start w:val="1"/>
      <w:numFmt w:val="decimal"/>
      <w:lvlText w:val="(%1) "/>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FC2506C"/>
    <w:multiLevelType w:val="multilevel"/>
    <w:tmpl w:val="5FC2506C"/>
    <w:lvl w:ilvl="0" w:tentative="0">
      <w:start w:val="1"/>
      <w:numFmt w:val="upperLetter"/>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2">
    <w:nsid w:val="64B965F7"/>
    <w:multiLevelType w:val="multilevel"/>
    <w:tmpl w:val="64B965F7"/>
    <w:lvl w:ilvl="0" w:tentative="0">
      <w:start w:val="1"/>
      <w:numFmt w:val="upperLetter"/>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3">
    <w:nsid w:val="6B7128B1"/>
    <w:multiLevelType w:val="multilevel"/>
    <w:tmpl w:val="6B7128B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181F19"/>
    <w:multiLevelType w:val="multilevel"/>
    <w:tmpl w:val="6C181F19"/>
    <w:lvl w:ilvl="0" w:tentative="0">
      <w:start w:val="1"/>
      <w:numFmt w:val="decimal"/>
      <w:lvlText w:val="(%1) "/>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6EEB095D"/>
    <w:multiLevelType w:val="multilevel"/>
    <w:tmpl w:val="6EEB095D"/>
    <w:lvl w:ilvl="0" w:tentative="0">
      <w:start w:val="1"/>
      <w:numFmt w:val="decimal"/>
      <w:lvlText w:val="(%1) "/>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76B0001C"/>
    <w:multiLevelType w:val="multilevel"/>
    <w:tmpl w:val="76B0001C"/>
    <w:lvl w:ilvl="0" w:tentative="0">
      <w:start w:val="1"/>
      <w:numFmt w:val="decimal"/>
      <w:lvlText w:val="(%1) "/>
      <w:lvlJc w:val="left"/>
      <w:pPr>
        <w:ind w:left="900" w:hanging="420"/>
      </w:pPr>
      <w:rPr>
        <w:rFonts w:hint="default" w:ascii="Times New Roman" w:hAnsi="Times New Roman"/>
        <w:b w:val="0"/>
        <w:i w:val="0"/>
        <w:sz w:val="24"/>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77EA1A40"/>
    <w:multiLevelType w:val="multilevel"/>
    <w:tmpl w:val="77EA1A4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F716766"/>
    <w:multiLevelType w:val="multilevel"/>
    <w:tmpl w:val="7F716766"/>
    <w:lvl w:ilvl="0" w:tentative="0">
      <w:start w:val="1"/>
      <w:numFmt w:val="bullet"/>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5"/>
  </w:num>
  <w:num w:numId="2">
    <w:abstractNumId w:val="11"/>
  </w:num>
  <w:num w:numId="3">
    <w:abstractNumId w:val="10"/>
  </w:num>
  <w:num w:numId="4">
    <w:abstractNumId w:val="17"/>
  </w:num>
  <w:num w:numId="5">
    <w:abstractNumId w:val="16"/>
  </w:num>
  <w:num w:numId="6">
    <w:abstractNumId w:val="8"/>
  </w:num>
  <w:num w:numId="7">
    <w:abstractNumId w:val="2"/>
  </w:num>
  <w:num w:numId="8">
    <w:abstractNumId w:val="7"/>
  </w:num>
  <w:num w:numId="9">
    <w:abstractNumId w:val="19"/>
  </w:num>
  <w:num w:numId="10">
    <w:abstractNumId w:val="0"/>
  </w:num>
  <w:num w:numId="11">
    <w:abstractNumId w:val="14"/>
  </w:num>
  <w:num w:numId="12">
    <w:abstractNumId w:val="24"/>
  </w:num>
  <w:num w:numId="13">
    <w:abstractNumId w:val="26"/>
  </w:num>
  <w:num w:numId="14">
    <w:abstractNumId w:val="18"/>
  </w:num>
  <w:num w:numId="15">
    <w:abstractNumId w:val="4"/>
  </w:num>
  <w:num w:numId="16">
    <w:abstractNumId w:val="13"/>
  </w:num>
  <w:num w:numId="17">
    <w:abstractNumId w:val="12"/>
  </w:num>
  <w:num w:numId="18">
    <w:abstractNumId w:val="25"/>
  </w:num>
  <w:num w:numId="19">
    <w:abstractNumId w:val="9"/>
  </w:num>
  <w:num w:numId="20">
    <w:abstractNumId w:val="22"/>
  </w:num>
  <w:num w:numId="21">
    <w:abstractNumId w:val="21"/>
  </w:num>
  <w:num w:numId="22">
    <w:abstractNumId w:val="28"/>
  </w:num>
  <w:num w:numId="23">
    <w:abstractNumId w:val="27"/>
  </w:num>
  <w:num w:numId="24">
    <w:abstractNumId w:val="6"/>
  </w:num>
  <w:num w:numId="25">
    <w:abstractNumId w:val="23"/>
  </w:num>
  <w:num w:numId="26">
    <w:abstractNumId w:val="1"/>
  </w:num>
  <w:num w:numId="27">
    <w:abstractNumId w:val="20"/>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16310"/>
    <w:rsid w:val="0023122E"/>
    <w:rsid w:val="004662BF"/>
    <w:rsid w:val="00B91246"/>
    <w:rsid w:val="00BB2A4F"/>
    <w:rsid w:val="00C265FC"/>
    <w:rsid w:val="00D40A1F"/>
    <w:rsid w:val="00D50943"/>
    <w:rsid w:val="00DF113E"/>
    <w:rsid w:val="00EC5B7A"/>
    <w:rsid w:val="01FB1AFB"/>
    <w:rsid w:val="02606A69"/>
    <w:rsid w:val="122E5E79"/>
    <w:rsid w:val="13CF0C1C"/>
    <w:rsid w:val="16106B19"/>
    <w:rsid w:val="16CC14B7"/>
    <w:rsid w:val="20C77A4F"/>
    <w:rsid w:val="21E16310"/>
    <w:rsid w:val="231E5FF2"/>
    <w:rsid w:val="297D7ED9"/>
    <w:rsid w:val="2FC55731"/>
    <w:rsid w:val="332F39F7"/>
    <w:rsid w:val="3C957DAF"/>
    <w:rsid w:val="48B02DBE"/>
    <w:rsid w:val="53E026D5"/>
    <w:rsid w:val="6528611D"/>
    <w:rsid w:val="654B28DE"/>
    <w:rsid w:val="6A865D0A"/>
    <w:rsid w:val="7BE3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Cs/>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pPr>
      <w:adjustRightInd w:val="0"/>
      <w:snapToGrid w:val="0"/>
      <w:spacing w:after="120"/>
      <w:textAlignment w:val="baseline"/>
      <w:outlineLvl w:val="0"/>
    </w:pPr>
    <w:rPr>
      <w:color w:val="000000"/>
      <w:kern w:val="0"/>
    </w:rPr>
  </w:style>
  <w:style w:type="paragraph" w:styleId="6">
    <w:name w:val="List 2"/>
    <w:basedOn w:val="1"/>
    <w:qFormat/>
    <w:uiPriority w:val="0"/>
    <w:pPr>
      <w:adjustRightInd w:val="0"/>
      <w:spacing w:line="312" w:lineRule="atLeast"/>
      <w:ind w:left="840" w:hanging="420"/>
      <w:textAlignment w:val="baseline"/>
    </w:pPr>
    <w:rPr>
      <w:rFonts w:eastAsia="创艺简仿宋"/>
      <w:kern w:val="0"/>
      <w:szCs w:val="20"/>
      <w:u w:val="single"/>
    </w:rPr>
  </w:style>
  <w:style w:type="paragraph" w:styleId="7">
    <w:name w:val="toc 3"/>
    <w:basedOn w:val="1"/>
    <w:next w:val="1"/>
    <w:qFormat/>
    <w:uiPriority w:val="39"/>
    <w:pPr>
      <w:ind w:left="480"/>
      <w:jc w:val="left"/>
    </w:pPr>
    <w:rPr>
      <w:rFonts w:ascii="Calibri" w:hAnsi="Calibri" w:cs="Calibri"/>
      <w:i/>
      <w:iCs/>
      <w:sz w:val="20"/>
      <w:szCs w:val="20"/>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pPr>
      <w:spacing w:before="120" w:after="120"/>
      <w:jc w:val="left"/>
    </w:pPr>
    <w:rPr>
      <w:rFonts w:ascii="Calibri" w:hAnsi="Calibri" w:cs="Calibri"/>
      <w:b/>
      <w:bCs/>
      <w:caps/>
      <w:sz w:val="20"/>
      <w:szCs w:val="20"/>
    </w:rPr>
  </w:style>
  <w:style w:type="paragraph" w:styleId="11">
    <w:name w:val="List"/>
    <w:basedOn w:val="1"/>
    <w:qFormat/>
    <w:uiPriority w:val="0"/>
    <w:pPr>
      <w:adjustRightInd w:val="0"/>
      <w:spacing w:line="312" w:lineRule="atLeast"/>
      <w:ind w:left="420" w:hanging="420"/>
      <w:textAlignment w:val="baseline"/>
    </w:pPr>
    <w:rPr>
      <w:rFonts w:eastAsia="创艺简仿宋"/>
      <w:kern w:val="0"/>
      <w:szCs w:val="20"/>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99"/>
    <w:rPr>
      <w:color w:val="0000FF"/>
      <w:u w:val="single"/>
    </w:rPr>
  </w:style>
  <w:style w:type="paragraph" w:customStyle="1" w:styleId="17">
    <w:name w:val="编号正文（首行缩进两字）"/>
    <w:basedOn w:val="4"/>
    <w:qFormat/>
    <w:uiPriority w:val="0"/>
    <w:pPr>
      <w:numPr>
        <w:ilvl w:val="0"/>
        <w:numId w:val="1"/>
      </w:numPr>
      <w:spacing w:line="360" w:lineRule="auto"/>
      <w:ind w:firstLine="0" w:firstLineChars="0"/>
    </w:pPr>
    <w:rPr>
      <w:rFonts w:ascii="仿宋_GB2312" w:eastAsia="仿宋_GB2312"/>
      <w:szCs w:val="20"/>
    </w:rPr>
  </w:style>
  <w:style w:type="paragraph" w:customStyle="1" w:styleId="18">
    <w:name w:val="...... 2"/>
    <w:basedOn w:val="19"/>
    <w:next w:val="19"/>
    <w:qFormat/>
    <w:uiPriority w:val="0"/>
    <w:rPr>
      <w:rFonts w:ascii="Times New Roman" w:eastAsia="宋体"/>
      <w:color w:val="auto"/>
      <w:sz w:val="20"/>
    </w:rPr>
  </w:style>
  <w:style w:type="paragraph" w:customStyle="1" w:styleId="19">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20">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46BAA-44C5-49C5-8FA5-D71EEA5234D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1442</Words>
  <Characters>8220</Characters>
  <Lines>68</Lines>
  <Paragraphs>19</Paragraphs>
  <TotalTime>14</TotalTime>
  <ScaleCrop>false</ScaleCrop>
  <LinksUpToDate>false</LinksUpToDate>
  <CharactersWithSpaces>9643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2020-06-04T00:36:00Z</dcterms:created>
  <dc:creator>Administrator</dc:creator>
  <cp:lastModifiedBy>Administrator</cp:lastModifiedBy>
  <dcterms:modified xsi:type="dcterms:W3CDTF">2020-06-08T02:53:14Z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